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11" w:rsidRPr="00100AA4" w:rsidRDefault="000F38B6" w:rsidP="00AB2D11">
      <w:pPr>
        <w:spacing w:before="240"/>
        <w:jc w:val="center"/>
        <w:rPr>
          <w:rFonts w:ascii="Arial" w:hAnsi="Arial" w:cs="Arial"/>
        </w:rPr>
      </w:pPr>
      <w:bookmarkStart w:id="0" w:name="_GoBack"/>
      <w:bookmarkEnd w:id="0"/>
      <w:r w:rsidRPr="00100AA4">
        <w:rPr>
          <w:rFonts w:ascii="Arial" w:hAnsi="Arial" w:cs="Arial"/>
        </w:rPr>
        <w:tab/>
      </w:r>
      <w:r w:rsidRPr="00100AA4">
        <w:rPr>
          <w:rFonts w:ascii="Arial" w:hAnsi="Arial" w:cs="Arial"/>
          <w:b/>
          <w:bCs/>
        </w:rPr>
        <w:t>Oświadczenie o stanie kontroli zarządczej</w:t>
      </w:r>
    </w:p>
    <w:p w:rsidR="00AB2D11" w:rsidRPr="00100AA4" w:rsidRDefault="000F38B6" w:rsidP="00AB2D11">
      <w:pPr>
        <w:spacing w:before="240"/>
        <w:jc w:val="center"/>
        <w:rPr>
          <w:rFonts w:ascii="Arial" w:hAnsi="Arial" w:cs="Arial"/>
        </w:rPr>
      </w:pPr>
      <w:r w:rsidRPr="00100AA4">
        <w:rPr>
          <w:rFonts w:ascii="Arial" w:hAnsi="Arial" w:cs="Arial"/>
        </w:rPr>
        <w:t>Prezesa Urzędu Rejestracji Produktów Leczniczych, Wyrobów Medycznych</w:t>
      </w:r>
      <w:r w:rsidRPr="00100AA4">
        <w:rPr>
          <w:rFonts w:ascii="Arial" w:hAnsi="Arial" w:cs="Arial"/>
        </w:rPr>
        <w:br/>
        <w:t xml:space="preserve"> i Produktów Biobójczych</w:t>
      </w:r>
      <w:r w:rsidRPr="00100AA4">
        <w:rPr>
          <w:rFonts w:ascii="Arial" w:hAnsi="Arial" w:cs="Arial"/>
          <w:vertAlign w:val="superscript"/>
        </w:rPr>
        <w:t>1)</w:t>
      </w:r>
    </w:p>
    <w:p w:rsidR="00AB2D11" w:rsidRPr="00100AA4" w:rsidRDefault="000F38B6" w:rsidP="00AB2D11">
      <w:pPr>
        <w:spacing w:before="240"/>
        <w:jc w:val="center"/>
        <w:rPr>
          <w:rFonts w:ascii="Arial" w:hAnsi="Arial" w:cs="Arial"/>
        </w:rPr>
      </w:pPr>
      <w:r w:rsidRPr="00100AA4">
        <w:rPr>
          <w:rFonts w:ascii="Arial" w:hAnsi="Arial" w:cs="Arial"/>
          <w:b/>
          <w:bCs/>
        </w:rPr>
        <w:t>za rok 20</w:t>
      </w:r>
      <w:r>
        <w:rPr>
          <w:rFonts w:ascii="Arial" w:hAnsi="Arial" w:cs="Arial"/>
          <w:b/>
          <w:bCs/>
        </w:rPr>
        <w:t>23</w:t>
      </w:r>
    </w:p>
    <w:p w:rsidR="00AB2D11" w:rsidRPr="00100AA4" w:rsidRDefault="000F38B6" w:rsidP="00AB2D11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b/>
          <w:bCs/>
          <w:sz w:val="22"/>
          <w:szCs w:val="22"/>
        </w:rPr>
        <w:t>Dział I</w:t>
      </w:r>
      <w:r w:rsidRPr="00100AA4">
        <w:rPr>
          <w:rFonts w:ascii="Arial" w:hAnsi="Arial" w:cs="Arial"/>
          <w:sz w:val="22"/>
          <w:szCs w:val="22"/>
          <w:vertAlign w:val="superscript"/>
        </w:rPr>
        <w:t>2)</w:t>
      </w:r>
    </w:p>
    <w:p w:rsidR="00AB2D11" w:rsidRPr="00100AA4" w:rsidRDefault="000F38B6" w:rsidP="00AB2D11">
      <w:pPr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>Jako osoba odpowiedzialna za zapewnienie funkcjonowania adek</w:t>
      </w:r>
      <w:r>
        <w:rPr>
          <w:rFonts w:ascii="Arial" w:hAnsi="Arial" w:cs="Arial"/>
          <w:sz w:val="22"/>
          <w:szCs w:val="22"/>
        </w:rPr>
        <w:t xml:space="preserve">watnej, skutecznej </w:t>
      </w:r>
      <w:r>
        <w:rPr>
          <w:rFonts w:ascii="Arial" w:hAnsi="Arial" w:cs="Arial"/>
          <w:sz w:val="22"/>
          <w:szCs w:val="22"/>
        </w:rPr>
        <w:br/>
      </w:r>
      <w:r w:rsidRPr="00100AA4">
        <w:rPr>
          <w:rFonts w:ascii="Arial" w:hAnsi="Arial" w:cs="Arial"/>
          <w:sz w:val="22"/>
          <w:szCs w:val="22"/>
        </w:rPr>
        <w:t xml:space="preserve">i efektywnej </w:t>
      </w:r>
      <w:r w:rsidRPr="00100AA4">
        <w:rPr>
          <w:rFonts w:ascii="Arial" w:hAnsi="Arial" w:cs="Arial"/>
          <w:sz w:val="22"/>
          <w:szCs w:val="22"/>
        </w:rPr>
        <w:t>kontroli zarządczej, tj. działań podejmowanych dla</w:t>
      </w:r>
      <w:r>
        <w:rPr>
          <w:rFonts w:ascii="Arial" w:hAnsi="Arial" w:cs="Arial"/>
          <w:sz w:val="22"/>
          <w:szCs w:val="22"/>
        </w:rPr>
        <w:t xml:space="preserve"> zapewnienia realizacji celów </w:t>
      </w:r>
      <w:r>
        <w:rPr>
          <w:rFonts w:ascii="Arial" w:hAnsi="Arial" w:cs="Arial"/>
          <w:sz w:val="22"/>
          <w:szCs w:val="22"/>
        </w:rPr>
        <w:br/>
      </w:r>
      <w:r w:rsidRPr="00100AA4">
        <w:rPr>
          <w:rFonts w:ascii="Arial" w:hAnsi="Arial" w:cs="Arial"/>
          <w:sz w:val="22"/>
          <w:szCs w:val="22"/>
        </w:rPr>
        <w:t>i zadań w sposób zgodny z prawem, efektywny, oszczędny i terminowy, a w szczególności dla zapewnienia:</w:t>
      </w:r>
      <w:r w:rsidRPr="00100AA4">
        <w:rPr>
          <w:rFonts w:ascii="Arial" w:hAnsi="Arial" w:cs="Arial"/>
          <w:sz w:val="22"/>
          <w:szCs w:val="22"/>
        </w:rPr>
        <w:tab/>
      </w:r>
    </w:p>
    <w:p w:rsidR="00AB2D11" w:rsidRPr="00100AA4" w:rsidRDefault="000F38B6" w:rsidP="00AB2D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outlineLvl w:val="0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t>zgodności działalności z przepisami prawa oraz procedurami wewnętrznymi</w:t>
      </w:r>
      <w:r w:rsidRPr="00100AA4">
        <w:rPr>
          <w:rFonts w:ascii="Arial" w:hAnsi="Arial" w:cs="Arial"/>
          <w:spacing w:val="-6"/>
          <w:sz w:val="22"/>
          <w:szCs w:val="22"/>
        </w:rPr>
        <w:t>,</w:t>
      </w:r>
    </w:p>
    <w:p w:rsidR="00AB2D11" w:rsidRPr="00100AA4" w:rsidRDefault="000F38B6" w:rsidP="00AB2D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t>skuteczności i efektywności działania,</w:t>
      </w:r>
    </w:p>
    <w:p w:rsidR="00AB2D11" w:rsidRPr="00100AA4" w:rsidRDefault="000F38B6" w:rsidP="00AB2D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t>wiarygodności sprawozdań,</w:t>
      </w:r>
    </w:p>
    <w:p w:rsidR="00AB2D11" w:rsidRPr="00100AA4" w:rsidRDefault="000F38B6" w:rsidP="00AB2D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t>ochrony zasobów,</w:t>
      </w:r>
    </w:p>
    <w:p w:rsidR="00AB2D11" w:rsidRPr="00100AA4" w:rsidRDefault="000F38B6" w:rsidP="00AB2D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t>przestrzegania i promowania zasad etycznego postępowania,</w:t>
      </w:r>
    </w:p>
    <w:p w:rsidR="00AB2D11" w:rsidRPr="00100AA4" w:rsidRDefault="000F38B6" w:rsidP="00AB2D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t>efektywności i skuteczności przepływu informacji,</w:t>
      </w:r>
    </w:p>
    <w:p w:rsidR="00AB2D11" w:rsidRPr="00100AA4" w:rsidRDefault="000F38B6" w:rsidP="00AB2D1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t>zarządzania ryzykiem,</w:t>
      </w:r>
    </w:p>
    <w:p w:rsidR="00AB2D11" w:rsidRPr="00100AA4" w:rsidRDefault="000F38B6" w:rsidP="00AB2D1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 xml:space="preserve">oświadczam, że </w:t>
      </w:r>
      <w:r w:rsidRPr="00100AA4">
        <w:rPr>
          <w:rFonts w:ascii="Arial" w:hAnsi="Arial" w:cs="Arial"/>
          <w:strike/>
          <w:sz w:val="22"/>
          <w:szCs w:val="22"/>
        </w:rPr>
        <w:t>w kierowanym/kierowanych pr</w:t>
      </w:r>
      <w:r w:rsidRPr="00100AA4">
        <w:rPr>
          <w:rFonts w:ascii="Arial" w:hAnsi="Arial" w:cs="Arial"/>
          <w:strike/>
          <w:sz w:val="22"/>
          <w:szCs w:val="22"/>
        </w:rPr>
        <w:t>zeze mnie dziale/działach administracji rządowej</w:t>
      </w:r>
      <w:r w:rsidRPr="00100AA4">
        <w:rPr>
          <w:rFonts w:ascii="Arial" w:hAnsi="Arial" w:cs="Arial"/>
          <w:strike/>
          <w:sz w:val="22"/>
          <w:szCs w:val="22"/>
          <w:vertAlign w:val="superscript"/>
        </w:rPr>
        <w:t>3</w:t>
      </w:r>
      <w:r w:rsidRPr="00100AA4">
        <w:rPr>
          <w:rFonts w:ascii="Arial" w:hAnsi="Arial" w:cs="Arial"/>
          <w:dstrike/>
          <w:sz w:val="22"/>
          <w:szCs w:val="22"/>
          <w:vertAlign w:val="superscript"/>
        </w:rPr>
        <w:t>)</w:t>
      </w:r>
      <w:r w:rsidRPr="00100AA4">
        <w:rPr>
          <w:rFonts w:ascii="Arial" w:hAnsi="Arial" w:cs="Arial"/>
          <w:dstrike/>
          <w:sz w:val="22"/>
          <w:szCs w:val="22"/>
        </w:rPr>
        <w:t>/</w:t>
      </w:r>
      <w:r w:rsidRPr="00100AA4">
        <w:rPr>
          <w:rFonts w:ascii="Arial" w:hAnsi="Arial" w:cs="Arial"/>
          <w:sz w:val="22"/>
          <w:szCs w:val="22"/>
        </w:rPr>
        <w:t>w kierowanej przeze mnie jednostce sektora finansów publicznych* Urzędzie Rejestracji Produktów Leczniczych, Wyrobów Medycznych i Produktów Biobójczych</w:t>
      </w:r>
    </w:p>
    <w:p w:rsidR="00AB2D11" w:rsidRPr="00100AA4" w:rsidRDefault="000F38B6" w:rsidP="00AB2D11">
      <w:pPr>
        <w:jc w:val="center"/>
        <w:rPr>
          <w:rFonts w:ascii="Arial" w:hAnsi="Arial" w:cs="Arial"/>
          <w:i/>
          <w:sz w:val="18"/>
          <w:szCs w:val="18"/>
        </w:rPr>
      </w:pPr>
      <w:r w:rsidRPr="00100AA4">
        <w:rPr>
          <w:rFonts w:ascii="Arial" w:hAnsi="Arial" w:cs="Arial"/>
          <w:i/>
          <w:sz w:val="18"/>
          <w:szCs w:val="18"/>
        </w:rPr>
        <w:t xml:space="preserve">(nazwa/nazwy działu/działów administracji </w:t>
      </w:r>
      <w:r w:rsidRPr="00100AA4">
        <w:rPr>
          <w:rFonts w:ascii="Arial" w:hAnsi="Arial" w:cs="Arial"/>
          <w:i/>
          <w:sz w:val="18"/>
          <w:szCs w:val="18"/>
        </w:rPr>
        <w:t>rządowej/nazwa jednostki sektora finansów publicznych</w:t>
      </w:r>
      <w:r w:rsidRPr="00100AA4">
        <w:rPr>
          <w:rFonts w:ascii="Arial" w:hAnsi="Arial" w:cs="Arial"/>
          <w:i/>
          <w:sz w:val="18"/>
          <w:szCs w:val="18"/>
          <w:vertAlign w:val="superscript"/>
        </w:rPr>
        <w:t>*)</w:t>
      </w:r>
    </w:p>
    <w:p w:rsidR="00AB2D11" w:rsidRPr="00100AA4" w:rsidRDefault="000F38B6" w:rsidP="00AB2D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b/>
          <w:bCs/>
          <w:sz w:val="22"/>
          <w:szCs w:val="22"/>
        </w:rPr>
        <w:t>Część A</w:t>
      </w:r>
      <w:r w:rsidRPr="00100AA4">
        <w:rPr>
          <w:rFonts w:ascii="Arial" w:hAnsi="Arial" w:cs="Arial"/>
          <w:sz w:val="22"/>
          <w:szCs w:val="22"/>
          <w:vertAlign w:val="superscript"/>
        </w:rPr>
        <w:t>4)</w:t>
      </w:r>
    </w:p>
    <w:p w:rsidR="00AB2D11" w:rsidRPr="00100AA4" w:rsidRDefault="000F38B6" w:rsidP="00AB2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></w:t>
      </w:r>
      <w:r w:rsidRPr="00100AA4">
        <w:rPr>
          <w:rFonts w:ascii="Arial" w:hAnsi="Arial" w:cs="Arial"/>
          <w:sz w:val="22"/>
          <w:szCs w:val="22"/>
        </w:rPr>
        <w:tab/>
      </w:r>
      <w:r w:rsidRPr="00100AA4">
        <w:rPr>
          <w:rFonts w:ascii="Arial" w:hAnsi="Arial" w:cs="Arial"/>
          <w:sz w:val="22"/>
          <w:szCs w:val="22"/>
        </w:rPr>
        <w:tab/>
        <w:t>w wystarczającym stopniu funkcjonowała adekwatna, skuteczna i efektywna kontrola zarządcza.</w:t>
      </w:r>
    </w:p>
    <w:p w:rsidR="00AB2D11" w:rsidRPr="00100AA4" w:rsidRDefault="000F38B6" w:rsidP="00AB2D1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b/>
          <w:bCs/>
          <w:sz w:val="22"/>
          <w:szCs w:val="22"/>
        </w:rPr>
        <w:t>Część B</w:t>
      </w:r>
      <w:r w:rsidRPr="00100AA4">
        <w:rPr>
          <w:rFonts w:ascii="Arial" w:hAnsi="Arial" w:cs="Arial"/>
          <w:sz w:val="22"/>
          <w:szCs w:val="22"/>
          <w:vertAlign w:val="superscript"/>
        </w:rPr>
        <w:t>5)</w:t>
      </w:r>
    </w:p>
    <w:p w:rsidR="00AB2D11" w:rsidRPr="00100AA4" w:rsidRDefault="000F38B6" w:rsidP="00AB2D11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0AA4">
        <w:rPr>
          <w:rFonts w:ascii="Arial" w:hAnsi="Arial" w:cs="Arial"/>
          <w:spacing w:val="-6"/>
          <w:sz w:val="22"/>
          <w:szCs w:val="22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r w:rsidRPr="00100AA4">
        <w:rPr>
          <w:rFonts w:ascii="Arial" w:hAnsi="Arial" w:cs="Arial"/>
          <w:sz w:val="22"/>
          <w:szCs w:val="22"/>
        </w:rPr>
        <w:tab/>
      </w:r>
      <w:r w:rsidRPr="00100AA4">
        <w:rPr>
          <w:rFonts w:ascii="Arial" w:hAnsi="Arial" w:cs="Arial"/>
          <w:b/>
          <w:sz w:val="22"/>
          <w:szCs w:val="22"/>
          <w:u w:val="single"/>
        </w:rPr>
        <w:t>w ograniczonym stopniu funkcjonowała adekwatna, skuteczna i efektywna kontrola zarządcza.</w:t>
      </w:r>
    </w:p>
    <w:p w:rsidR="00AB2D11" w:rsidRPr="00100AA4" w:rsidRDefault="000F38B6" w:rsidP="00AB2D1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>Zastrzeżenia dotyczące funkcjonowania kontroli zarządczej wraz z planowanymi działaniami, które zostaną p</w:t>
      </w:r>
      <w:r w:rsidRPr="00100AA4">
        <w:rPr>
          <w:rFonts w:ascii="Arial" w:hAnsi="Arial" w:cs="Arial"/>
          <w:sz w:val="22"/>
          <w:szCs w:val="22"/>
        </w:rPr>
        <w:t xml:space="preserve">odjęte w celu poprawy funkcjonowania kontroli zarządczej, zostały opisane </w:t>
      </w:r>
      <w:r w:rsidRPr="00100AA4">
        <w:rPr>
          <w:rFonts w:ascii="Arial" w:hAnsi="Arial" w:cs="Arial"/>
          <w:sz w:val="22"/>
          <w:szCs w:val="22"/>
        </w:rPr>
        <w:br/>
        <w:t>w dziale II oświadczenia.</w:t>
      </w:r>
    </w:p>
    <w:p w:rsidR="00AB2D11" w:rsidRPr="00100AA4" w:rsidRDefault="000F38B6" w:rsidP="00AB2D1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b/>
          <w:bCs/>
          <w:sz w:val="22"/>
          <w:szCs w:val="22"/>
        </w:rPr>
        <w:t>Część C</w:t>
      </w:r>
      <w:r w:rsidRPr="00100AA4">
        <w:rPr>
          <w:rFonts w:ascii="Arial" w:hAnsi="Arial" w:cs="Arial"/>
          <w:sz w:val="22"/>
          <w:szCs w:val="22"/>
          <w:vertAlign w:val="superscript"/>
        </w:rPr>
        <w:t>6)</w:t>
      </w:r>
    </w:p>
    <w:p w:rsidR="00AB2D11" w:rsidRPr="00100AA4" w:rsidRDefault="000F38B6" w:rsidP="00AB2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></w:t>
      </w:r>
      <w:r w:rsidRPr="00100AA4">
        <w:rPr>
          <w:rFonts w:ascii="Arial" w:hAnsi="Arial" w:cs="Arial"/>
          <w:sz w:val="22"/>
          <w:szCs w:val="22"/>
        </w:rPr>
        <w:tab/>
        <w:t>nie funkcjonowała adekwatna, skuteczna i efektywna kontrola zarządcza.</w:t>
      </w:r>
    </w:p>
    <w:p w:rsidR="00AB2D11" w:rsidRPr="00100AA4" w:rsidRDefault="000F38B6" w:rsidP="00AB2D1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>Zastrzeżenia dotyczące funkcjonowania kontroli zarządczej wraz z planowa</w:t>
      </w:r>
      <w:r w:rsidRPr="00100AA4">
        <w:rPr>
          <w:rFonts w:ascii="Arial" w:hAnsi="Arial" w:cs="Arial"/>
          <w:sz w:val="22"/>
          <w:szCs w:val="22"/>
        </w:rPr>
        <w:t xml:space="preserve">nymi działaniami, które zostaną podjęte w celu poprawy funkcjonowania kontroli zarządczej, zostały opisane </w:t>
      </w:r>
      <w:r w:rsidRPr="00100AA4">
        <w:rPr>
          <w:rFonts w:ascii="Arial" w:hAnsi="Arial" w:cs="Arial"/>
          <w:sz w:val="22"/>
          <w:szCs w:val="22"/>
        </w:rPr>
        <w:br/>
        <w:t>w dziale II oświadczenia.</w:t>
      </w:r>
    </w:p>
    <w:p w:rsidR="00AB2D11" w:rsidRPr="00100AA4" w:rsidRDefault="000F38B6" w:rsidP="00AB2D1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b/>
          <w:bCs/>
          <w:sz w:val="22"/>
          <w:szCs w:val="22"/>
        </w:rPr>
        <w:t>Część D</w:t>
      </w:r>
    </w:p>
    <w:p w:rsidR="00AB2D11" w:rsidRPr="00100AA4" w:rsidRDefault="000F38B6" w:rsidP="00AB2D11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100AA4">
        <w:rPr>
          <w:rFonts w:ascii="Arial" w:hAnsi="Arial" w:cs="Arial"/>
          <w:sz w:val="22"/>
          <w:szCs w:val="22"/>
        </w:rPr>
        <w:t>Niniejsze oświadczenie opiera się na mojej ocenie i informacjach dostępnych w czasie sporządzania niniejszego oświ</w:t>
      </w:r>
      <w:r w:rsidRPr="00100AA4">
        <w:rPr>
          <w:rFonts w:ascii="Arial" w:hAnsi="Arial" w:cs="Arial"/>
          <w:sz w:val="22"/>
          <w:szCs w:val="22"/>
        </w:rPr>
        <w:t>adczenia pochodzących z:</w:t>
      </w:r>
      <w:r w:rsidRPr="00100AA4">
        <w:rPr>
          <w:rFonts w:ascii="Arial" w:hAnsi="Arial" w:cs="Arial"/>
          <w:sz w:val="22"/>
          <w:szCs w:val="22"/>
          <w:vertAlign w:val="superscript"/>
        </w:rPr>
        <w:t>7)</w:t>
      </w:r>
    </w:p>
    <w:p w:rsidR="00AB2D11" w:rsidRPr="00100AA4" w:rsidRDefault="000F38B6" w:rsidP="00AB2D11">
      <w:pPr>
        <w:shd w:val="clear" w:color="auto" w:fill="FFFFFF"/>
        <w:tabs>
          <w:tab w:val="left" w:pos="284"/>
        </w:tabs>
        <w:spacing w:line="264" w:lineRule="auto"/>
        <w:outlineLvl w:val="0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Wybór12"/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bookmarkEnd w:id="1"/>
      <w:r w:rsidRPr="00100AA4">
        <w:rPr>
          <w:rFonts w:ascii="Arial" w:hAnsi="Arial" w:cs="Arial"/>
          <w:spacing w:val="-6"/>
          <w:sz w:val="22"/>
          <w:szCs w:val="22"/>
        </w:rPr>
        <w:t>monitoringu realizacji celów i zadań,</w:t>
      </w:r>
    </w:p>
    <w:p w:rsidR="00AB2D11" w:rsidRPr="00100AA4" w:rsidRDefault="000F38B6" w:rsidP="00AB2D11">
      <w:pPr>
        <w:shd w:val="clear" w:color="auto" w:fill="FFFFFF"/>
        <w:tabs>
          <w:tab w:val="left" w:pos="284"/>
        </w:tabs>
        <w:spacing w:line="264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Wybór13"/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bookmarkEnd w:id="2"/>
      <w:r w:rsidRPr="00100AA4">
        <w:rPr>
          <w:rFonts w:ascii="Arial" w:hAnsi="Arial" w:cs="Arial"/>
          <w:spacing w:val="-6"/>
          <w:sz w:val="22"/>
          <w:szCs w:val="22"/>
        </w:rPr>
        <w:t>samooceny kontroli zarządczej przeprowadzonej z uwzględnieniem standardów kontroli zarządczej dla sektora finansów publicznych</w:t>
      </w:r>
      <w:r w:rsidRPr="00100AA4">
        <w:rPr>
          <w:rFonts w:ascii="Arial" w:hAnsi="Arial" w:cs="Arial"/>
          <w:spacing w:val="-6"/>
          <w:sz w:val="22"/>
          <w:szCs w:val="22"/>
          <w:vertAlign w:val="superscript"/>
        </w:rPr>
        <w:t>6</w:t>
      </w:r>
      <w:r w:rsidRPr="00100AA4">
        <w:rPr>
          <w:rFonts w:ascii="Arial" w:hAnsi="Arial" w:cs="Arial"/>
          <w:spacing w:val="-6"/>
          <w:sz w:val="22"/>
          <w:szCs w:val="22"/>
        </w:rPr>
        <w:t>',</w:t>
      </w:r>
    </w:p>
    <w:p w:rsidR="00AB2D11" w:rsidRPr="00100AA4" w:rsidRDefault="000F38B6" w:rsidP="00AB2D11">
      <w:pPr>
        <w:shd w:val="clear" w:color="auto" w:fill="FFFFFF"/>
        <w:tabs>
          <w:tab w:val="left" w:pos="284"/>
        </w:tabs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Wybór14"/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bookmarkEnd w:id="3"/>
      <w:r w:rsidRPr="00100AA4">
        <w:rPr>
          <w:rFonts w:ascii="Arial" w:hAnsi="Arial" w:cs="Arial"/>
          <w:spacing w:val="-6"/>
          <w:sz w:val="22"/>
          <w:szCs w:val="22"/>
        </w:rPr>
        <w:t>procesu zarządzania ryzykiem,</w:t>
      </w:r>
    </w:p>
    <w:p w:rsidR="00AB2D11" w:rsidRPr="00100AA4" w:rsidRDefault="000F38B6" w:rsidP="00AB2D11">
      <w:pPr>
        <w:shd w:val="clear" w:color="auto" w:fill="FFFFFF"/>
        <w:tabs>
          <w:tab w:val="left" w:pos="284"/>
        </w:tabs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Wybór15"/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bookmarkEnd w:id="4"/>
      <w:r w:rsidRPr="00100AA4">
        <w:rPr>
          <w:rFonts w:ascii="Arial" w:hAnsi="Arial" w:cs="Arial"/>
          <w:spacing w:val="-6"/>
          <w:sz w:val="22"/>
          <w:szCs w:val="22"/>
        </w:rPr>
        <w:t>audytu wewnętrznego,</w:t>
      </w:r>
    </w:p>
    <w:p w:rsidR="00AB2D11" w:rsidRPr="00100AA4" w:rsidRDefault="000F38B6" w:rsidP="00AB2D11">
      <w:pPr>
        <w:shd w:val="clear" w:color="auto" w:fill="FFFFFF"/>
        <w:tabs>
          <w:tab w:val="left" w:pos="284"/>
        </w:tabs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Wybór16"/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bookmarkEnd w:id="5"/>
      <w:r w:rsidRPr="00100AA4">
        <w:rPr>
          <w:rFonts w:ascii="Arial" w:hAnsi="Arial" w:cs="Arial"/>
          <w:spacing w:val="-6"/>
          <w:sz w:val="22"/>
          <w:szCs w:val="22"/>
        </w:rPr>
        <w:t>kontroli wewnętrznych,</w:t>
      </w:r>
    </w:p>
    <w:p w:rsidR="00AB2D11" w:rsidRPr="00100AA4" w:rsidRDefault="000F38B6" w:rsidP="00AB2D11">
      <w:pPr>
        <w:shd w:val="clear" w:color="auto" w:fill="FFFFFF"/>
        <w:tabs>
          <w:tab w:val="left" w:pos="284"/>
        </w:tabs>
        <w:spacing w:line="264" w:lineRule="auto"/>
        <w:rPr>
          <w:rFonts w:ascii="Arial" w:hAnsi="Arial" w:cs="Arial"/>
          <w:spacing w:val="-6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lastRenderedPageBreak/>
        <w:fldChar w:fldCharType="begin">
          <w:ffData>
            <w:name w:val="Wybór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Wybór17"/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bookmarkEnd w:id="6"/>
      <w:r w:rsidRPr="00100AA4">
        <w:rPr>
          <w:rFonts w:ascii="Arial" w:hAnsi="Arial" w:cs="Arial"/>
          <w:spacing w:val="-6"/>
          <w:sz w:val="22"/>
          <w:szCs w:val="22"/>
        </w:rPr>
        <w:t>kontroli zewnętrznych,</w:t>
      </w:r>
    </w:p>
    <w:p w:rsidR="00AB2D11" w:rsidRPr="00100AA4" w:rsidRDefault="000F38B6" w:rsidP="00AB2D11">
      <w:pPr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pacing w:val="-6"/>
          <w:sz w:val="22"/>
          <w:szCs w:val="22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00AA4">
        <w:rPr>
          <w:rFonts w:ascii="Arial" w:hAnsi="Arial" w:cs="Arial"/>
          <w:spacing w:val="-6"/>
          <w:sz w:val="22"/>
          <w:szCs w:val="22"/>
        </w:rPr>
        <w:instrText xml:space="preserve"> FORMCHECKBOX </w:instrText>
      </w:r>
      <w:r>
        <w:rPr>
          <w:rFonts w:ascii="Arial" w:hAnsi="Arial" w:cs="Arial"/>
          <w:spacing w:val="-6"/>
          <w:sz w:val="22"/>
          <w:szCs w:val="22"/>
        </w:rPr>
      </w:r>
      <w:r>
        <w:rPr>
          <w:rFonts w:ascii="Arial" w:hAnsi="Arial" w:cs="Arial"/>
          <w:spacing w:val="-6"/>
          <w:sz w:val="22"/>
          <w:szCs w:val="22"/>
        </w:rPr>
        <w:fldChar w:fldCharType="separate"/>
      </w:r>
      <w:r w:rsidRPr="00100AA4">
        <w:rPr>
          <w:rFonts w:ascii="Arial" w:hAnsi="Arial" w:cs="Arial"/>
          <w:spacing w:val="-6"/>
          <w:sz w:val="22"/>
          <w:szCs w:val="22"/>
        </w:rPr>
        <w:fldChar w:fldCharType="end"/>
      </w:r>
      <w:r w:rsidRPr="00100AA4">
        <w:rPr>
          <w:rFonts w:ascii="Arial" w:hAnsi="Arial" w:cs="Arial"/>
          <w:spacing w:val="-6"/>
          <w:sz w:val="22"/>
          <w:szCs w:val="22"/>
        </w:rPr>
        <w:t>innych źródeł informacji: raporty</w:t>
      </w:r>
      <w:r>
        <w:rPr>
          <w:rFonts w:ascii="Arial" w:hAnsi="Arial" w:cs="Arial"/>
          <w:spacing w:val="-6"/>
          <w:sz w:val="22"/>
          <w:szCs w:val="22"/>
        </w:rPr>
        <w:t xml:space="preserve">, oświadczenia o </w:t>
      </w:r>
      <w:r>
        <w:rPr>
          <w:rFonts w:ascii="Arial" w:hAnsi="Arial" w:cs="Arial"/>
          <w:spacing w:val="-6"/>
          <w:sz w:val="22"/>
          <w:szCs w:val="22"/>
        </w:rPr>
        <w:t>stanie kontroli zarządczej</w:t>
      </w:r>
      <w:r>
        <w:rPr>
          <w:rFonts w:ascii="Arial" w:hAnsi="Arial" w:cs="Arial"/>
          <w:spacing w:val="-6"/>
          <w:sz w:val="22"/>
          <w:szCs w:val="22"/>
        </w:rPr>
        <w:t xml:space="preserve"> członków Kierowni</w:t>
      </w:r>
      <w:r>
        <w:rPr>
          <w:rFonts w:ascii="Arial" w:hAnsi="Arial" w:cs="Arial"/>
          <w:spacing w:val="-6"/>
          <w:sz w:val="22"/>
          <w:szCs w:val="22"/>
        </w:rPr>
        <w:t xml:space="preserve">ctwa, analiza dotycząca przyjmowania i załatwiania skarg i wniosków. </w:t>
      </w:r>
    </w:p>
    <w:p w:rsidR="00AB2D11" w:rsidRPr="00100AA4" w:rsidRDefault="000F38B6" w:rsidP="00AB2D1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>Jednocześnie oświadczam, że nie są mi znane inne fakty lub okoliczności, które mogłyby wpłynąć na treść niniejszego oświadczenia.</w:t>
      </w:r>
    </w:p>
    <w:p w:rsidR="00AB2D11" w:rsidRPr="00100AA4" w:rsidRDefault="000F38B6" w:rsidP="00AB2D11">
      <w:pPr>
        <w:ind w:left="4254" w:firstLine="709"/>
        <w:jc w:val="center"/>
        <w:rPr>
          <w:rFonts w:ascii="Arial" w:hAnsi="Arial" w:cs="Arial"/>
        </w:rPr>
      </w:pPr>
    </w:p>
    <w:p w:rsidR="00AB2D11" w:rsidRPr="00100AA4" w:rsidRDefault="000F38B6" w:rsidP="00AB2D11">
      <w:pPr>
        <w:rPr>
          <w:rFonts w:ascii="Arial" w:hAnsi="Arial" w:cs="Arial"/>
        </w:rPr>
      </w:pPr>
    </w:p>
    <w:p w:rsidR="00AB2D11" w:rsidRPr="00100AA4" w:rsidRDefault="000F38B6" w:rsidP="00AB2D11">
      <w:pPr>
        <w:tabs>
          <w:tab w:val="left" w:pos="5529"/>
        </w:tabs>
        <w:spacing w:line="360" w:lineRule="auto"/>
        <w:ind w:left="1418" w:firstLine="709"/>
        <w:jc w:val="center"/>
        <w:rPr>
          <w:rFonts w:ascii="Arial" w:hAnsi="Arial" w:cs="Arial"/>
        </w:rPr>
      </w:pPr>
      <w:bookmarkStart w:id="7" w:name="ezdPracownikNazwa"/>
      <w:r w:rsidRPr="00100AA4">
        <w:rPr>
          <w:rFonts w:ascii="Arial" w:hAnsi="Arial" w:cs="Arial"/>
        </w:rPr>
        <w:t>Grzegorz Cessak</w:t>
      </w:r>
      <w:bookmarkEnd w:id="7"/>
    </w:p>
    <w:p w:rsidR="00AB2D11" w:rsidRPr="00100AA4" w:rsidRDefault="000F38B6" w:rsidP="00AB2D11">
      <w:pPr>
        <w:tabs>
          <w:tab w:val="left" w:pos="5529"/>
        </w:tabs>
        <w:spacing w:line="360" w:lineRule="auto"/>
        <w:ind w:left="1418" w:firstLine="709"/>
        <w:jc w:val="center"/>
        <w:rPr>
          <w:rFonts w:ascii="Arial" w:hAnsi="Arial" w:cs="Arial"/>
        </w:rPr>
      </w:pPr>
      <w:bookmarkStart w:id="8" w:name="ezdPracownikStanowisko"/>
      <w:r w:rsidRPr="00100AA4">
        <w:rPr>
          <w:rFonts w:ascii="Arial" w:hAnsi="Arial" w:cs="Arial"/>
        </w:rPr>
        <w:t>Prezes</w:t>
      </w:r>
      <w:bookmarkEnd w:id="8"/>
    </w:p>
    <w:p w:rsidR="00AB2D11" w:rsidRPr="00100AA4" w:rsidRDefault="000F38B6" w:rsidP="00AB2D11">
      <w:pPr>
        <w:tabs>
          <w:tab w:val="left" w:pos="5529"/>
        </w:tabs>
        <w:spacing w:line="360" w:lineRule="auto"/>
        <w:ind w:left="1418" w:firstLine="709"/>
        <w:jc w:val="center"/>
        <w:rPr>
          <w:rFonts w:ascii="Arial" w:hAnsi="Arial" w:cs="Arial"/>
          <w:sz w:val="16"/>
          <w:szCs w:val="16"/>
        </w:rPr>
      </w:pPr>
      <w:bookmarkStart w:id="9" w:name="ezdPracownikAtrybut1"/>
      <w:r w:rsidRPr="00100AA4">
        <w:rPr>
          <w:rFonts w:ascii="Arial" w:hAnsi="Arial" w:cs="Arial"/>
          <w:sz w:val="16"/>
          <w:szCs w:val="16"/>
        </w:rPr>
        <w:t xml:space="preserve">/dokument podpisany </w:t>
      </w:r>
      <w:r w:rsidRPr="00100AA4">
        <w:rPr>
          <w:rFonts w:ascii="Arial" w:hAnsi="Arial" w:cs="Arial"/>
          <w:sz w:val="16"/>
          <w:szCs w:val="16"/>
        </w:rPr>
        <w:t>elektronicznie/</w:t>
      </w:r>
      <w:bookmarkEnd w:id="9"/>
    </w:p>
    <w:p w:rsidR="00AB2D11" w:rsidRPr="00100AA4" w:rsidRDefault="000F38B6" w:rsidP="00AB2D11">
      <w:pPr>
        <w:tabs>
          <w:tab w:val="right" w:pos="8804"/>
        </w:tabs>
        <w:rPr>
          <w:rFonts w:ascii="Arial" w:hAnsi="Arial" w:cs="Arial"/>
          <w:i/>
          <w:sz w:val="18"/>
          <w:szCs w:val="18"/>
        </w:rPr>
      </w:pPr>
      <w:r w:rsidRPr="00100AA4">
        <w:rPr>
          <w:rFonts w:ascii="Arial" w:hAnsi="Arial" w:cs="Arial"/>
          <w:sz w:val="22"/>
          <w:szCs w:val="22"/>
        </w:rPr>
        <w:t xml:space="preserve">Warszawa, </w:t>
      </w:r>
      <w:bookmarkStart w:id="10" w:name="ezdDataPodpisu"/>
      <w:r w:rsidRPr="00100AA4">
        <w:rPr>
          <w:rFonts w:ascii="Arial" w:hAnsi="Arial" w:cs="Arial"/>
          <w:sz w:val="22"/>
          <w:szCs w:val="22"/>
        </w:rPr>
        <w:t>23-02-2024</w:t>
      </w:r>
      <w:bookmarkEnd w:id="10"/>
      <w:r w:rsidRPr="00100AA4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</w:t>
      </w:r>
      <w:r w:rsidRPr="00100AA4">
        <w:rPr>
          <w:rFonts w:ascii="Arial" w:hAnsi="Arial" w:cs="Arial"/>
          <w:i/>
          <w:sz w:val="22"/>
          <w:szCs w:val="22"/>
        </w:rPr>
        <w:t xml:space="preserve"> </w:t>
      </w:r>
    </w:p>
    <w:p w:rsidR="00AB2D11" w:rsidRPr="00100AA4" w:rsidRDefault="000F38B6" w:rsidP="00AB2D11">
      <w:pPr>
        <w:rPr>
          <w:rFonts w:ascii="Arial" w:hAnsi="Arial" w:cs="Arial"/>
        </w:rPr>
      </w:pPr>
    </w:p>
    <w:p w:rsidR="00AB2D11" w:rsidRDefault="000F38B6" w:rsidP="00AB2D11">
      <w:pPr>
        <w:rPr>
          <w:rFonts w:ascii="Arial" w:hAnsi="Arial" w:cs="Arial"/>
          <w:sz w:val="22"/>
          <w:szCs w:val="22"/>
        </w:rPr>
      </w:pPr>
    </w:p>
    <w:p w:rsidR="00AB2D11" w:rsidRPr="00100AA4" w:rsidRDefault="000F38B6" w:rsidP="00AB2D11">
      <w:pPr>
        <w:rPr>
          <w:rFonts w:ascii="Arial" w:hAnsi="Arial" w:cs="Arial"/>
          <w:sz w:val="22"/>
          <w:szCs w:val="22"/>
        </w:rPr>
      </w:pPr>
      <w:r w:rsidRPr="00100AA4">
        <w:rPr>
          <w:rFonts w:ascii="Arial" w:hAnsi="Arial" w:cs="Arial"/>
          <w:sz w:val="22"/>
          <w:szCs w:val="22"/>
        </w:rPr>
        <w:t>*Niepotrzebne skreślić.</w:t>
      </w:r>
    </w:p>
    <w:p w:rsidR="00AB2D11" w:rsidRPr="00100AA4" w:rsidRDefault="000F38B6" w:rsidP="00AB2D11">
      <w:pPr>
        <w:rPr>
          <w:rFonts w:ascii="Arial" w:hAnsi="Arial" w:cs="Arial"/>
          <w:sz w:val="16"/>
          <w:szCs w:val="16"/>
        </w:rPr>
      </w:pPr>
    </w:p>
    <w:p w:rsidR="00AB2D11" w:rsidRPr="00100AA4" w:rsidRDefault="000F38B6" w:rsidP="00AB2D11">
      <w:pPr>
        <w:rPr>
          <w:rFonts w:ascii="Arial" w:hAnsi="Arial" w:cs="Arial"/>
          <w:sz w:val="16"/>
          <w:szCs w:val="16"/>
        </w:rPr>
      </w:pPr>
    </w:p>
    <w:p w:rsidR="00AB2D11" w:rsidRPr="00100AA4" w:rsidRDefault="000F38B6" w:rsidP="00AB2D11">
      <w:pPr>
        <w:rPr>
          <w:rFonts w:ascii="Arial" w:hAnsi="Arial" w:cs="Arial"/>
          <w:sz w:val="16"/>
          <w:szCs w:val="16"/>
        </w:rPr>
      </w:pPr>
    </w:p>
    <w:p w:rsidR="00AB2D11" w:rsidRPr="00100AA4" w:rsidRDefault="000F38B6" w:rsidP="00AB2D1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100AA4">
        <w:rPr>
          <w:rFonts w:ascii="Arial" w:hAnsi="Arial" w:cs="Arial"/>
          <w:b/>
          <w:bCs/>
          <w:color w:val="000000"/>
          <w:sz w:val="22"/>
          <w:szCs w:val="22"/>
        </w:rPr>
        <w:t>Dział II</w:t>
      </w:r>
      <w:r w:rsidRPr="00100AA4">
        <w:rPr>
          <w:rFonts w:ascii="Arial" w:hAnsi="Arial" w:cs="Arial"/>
          <w:color w:val="000000"/>
          <w:sz w:val="22"/>
          <w:szCs w:val="22"/>
          <w:vertAlign w:val="superscript"/>
        </w:rPr>
        <w:t>9)</w:t>
      </w:r>
    </w:p>
    <w:p w:rsidR="00AB2D11" w:rsidRPr="00100AA4" w:rsidRDefault="000F38B6" w:rsidP="00AB2D11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00AA4">
        <w:rPr>
          <w:rFonts w:ascii="Arial" w:hAnsi="Arial" w:cs="Arial"/>
          <w:color w:val="000000"/>
          <w:sz w:val="22"/>
          <w:szCs w:val="22"/>
        </w:rPr>
        <w:t>1.</w:t>
      </w:r>
      <w:r w:rsidRPr="00100AA4">
        <w:rPr>
          <w:rFonts w:ascii="Arial" w:hAnsi="Arial" w:cs="Arial"/>
          <w:color w:val="000000"/>
          <w:sz w:val="22"/>
          <w:szCs w:val="22"/>
        </w:rPr>
        <w:tab/>
        <w:t>Zastrzeżenia dotyczące funkcjonowania kontroli zarządczej w roku ubiegłym.</w:t>
      </w:r>
    </w:p>
    <w:p w:rsidR="00AB2D11" w:rsidRPr="00100AA4" w:rsidRDefault="000F38B6" w:rsidP="00AB2D11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B2D11" w:rsidRDefault="000F38B6" w:rsidP="007A6420">
      <w:pPr>
        <w:shd w:val="clear" w:color="auto" w:fill="FFFFFF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2023 roku </w:t>
      </w:r>
      <w:r w:rsidRPr="00352054">
        <w:rPr>
          <w:rFonts w:ascii="Arial" w:hAnsi="Arial" w:cs="Arial"/>
          <w:sz w:val="22"/>
          <w:szCs w:val="22"/>
        </w:rPr>
        <w:t xml:space="preserve">w ograniczonym stopniu funkcjonowała adekwatna, skuteczna i efektywna kontrola </w:t>
      </w:r>
      <w:r w:rsidRPr="00352054">
        <w:rPr>
          <w:rFonts w:ascii="Arial" w:hAnsi="Arial" w:cs="Arial"/>
          <w:sz w:val="22"/>
          <w:szCs w:val="22"/>
        </w:rPr>
        <w:t>zarządcza</w:t>
      </w:r>
      <w:r>
        <w:rPr>
          <w:rFonts w:ascii="Arial" w:hAnsi="Arial" w:cs="Arial"/>
          <w:sz w:val="22"/>
          <w:szCs w:val="22"/>
        </w:rPr>
        <w:t xml:space="preserve"> w zakresie:</w:t>
      </w:r>
    </w:p>
    <w:p w:rsidR="004E23C2" w:rsidRPr="004E23C2" w:rsidRDefault="000F38B6" w:rsidP="007A6420">
      <w:pPr>
        <w:pStyle w:val="Akapitzlist"/>
        <w:numPr>
          <w:ilvl w:val="0"/>
          <w:numId w:val="5"/>
        </w:numPr>
        <w:shd w:val="clear" w:color="auto" w:fill="FFFFFF"/>
        <w:ind w:left="709" w:hanging="283"/>
        <w:jc w:val="both"/>
        <w:rPr>
          <w:rFonts w:ascii="Arial" w:hAnsi="Arial" w:cs="Arial"/>
          <w:sz w:val="22"/>
          <w:szCs w:val="22"/>
        </w:rPr>
      </w:pPr>
      <w:r w:rsidRPr="004E23C2">
        <w:rPr>
          <w:rFonts w:ascii="Arial" w:hAnsi="Arial" w:cs="Arial"/>
          <w:sz w:val="22"/>
          <w:szCs w:val="22"/>
        </w:rPr>
        <w:t xml:space="preserve">zgodności działalności z przepisami prawa i procedurami wewnętrznymi oraz </w:t>
      </w:r>
      <w:r w:rsidRPr="004E23C2">
        <w:rPr>
          <w:rFonts w:ascii="Arial" w:hAnsi="Arial" w:cs="Arial"/>
          <w:sz w:val="22"/>
          <w:szCs w:val="22"/>
        </w:rPr>
        <w:t>skuteczności i efektywności działania</w:t>
      </w:r>
      <w:r>
        <w:rPr>
          <w:rFonts w:ascii="Arial" w:hAnsi="Arial" w:cs="Arial"/>
          <w:sz w:val="22"/>
          <w:szCs w:val="22"/>
        </w:rPr>
        <w:t>:</w:t>
      </w:r>
    </w:p>
    <w:p w:rsidR="004E23C2" w:rsidRPr="004E23C2" w:rsidRDefault="000F38B6" w:rsidP="007A6420">
      <w:pPr>
        <w:pStyle w:val="Akapitzlist"/>
        <w:shd w:val="clear" w:color="auto" w:fill="FFFFFF"/>
        <w:ind w:left="709" w:hanging="283"/>
        <w:jc w:val="both"/>
        <w:rPr>
          <w:rFonts w:ascii="Arial" w:hAnsi="Arial" w:cs="Arial"/>
          <w:spacing w:val="-6"/>
          <w:sz w:val="22"/>
          <w:szCs w:val="22"/>
        </w:rPr>
      </w:pPr>
    </w:p>
    <w:p w:rsidR="00B1255A" w:rsidRDefault="000F38B6" w:rsidP="007A6420">
      <w:pPr>
        <w:shd w:val="clear" w:color="auto" w:fill="FFFFFF"/>
        <w:ind w:left="709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4E23C2">
        <w:rPr>
          <w:rFonts w:ascii="Arial" w:hAnsi="Arial" w:cs="Arial"/>
          <w:spacing w:val="-6"/>
          <w:sz w:val="22"/>
          <w:szCs w:val="22"/>
        </w:rPr>
        <w:t>ie we wszystkich postępowaniach zostały zachowane termin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y wynikające z przepisów prawa oraz </w:t>
      </w:r>
      <w:r w:rsidRPr="004E23C2">
        <w:rPr>
          <w:rFonts w:ascii="Arial" w:hAnsi="Arial" w:cs="Arial"/>
          <w:sz w:val="22"/>
          <w:szCs w:val="22"/>
        </w:rPr>
        <w:t xml:space="preserve">nie wszystkie cele zawarte </w:t>
      </w:r>
      <w:r w:rsidRPr="004E23C2">
        <w:rPr>
          <w:rFonts w:ascii="Arial" w:hAnsi="Arial" w:cs="Arial"/>
          <w:sz w:val="22"/>
          <w:szCs w:val="22"/>
        </w:rPr>
        <w:t>w Planie działalności Urzędu na 2023 r. zostały w pełni zrealizowane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. </w:t>
      </w:r>
      <w:r w:rsidRPr="004E23C2">
        <w:rPr>
          <w:rFonts w:ascii="Arial" w:hAnsi="Arial" w:cs="Arial"/>
          <w:spacing w:val="-6"/>
          <w:sz w:val="22"/>
          <w:szCs w:val="22"/>
        </w:rPr>
        <w:t>Ponadto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w związku ze zmianą przepisów prawa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oraz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przejściem na system elektroniczny prowadzenia spraw, </w:t>
      </w:r>
      <w:r w:rsidRPr="004E23C2">
        <w:rPr>
          <w:rFonts w:ascii="Arial" w:hAnsi="Arial" w:cs="Arial"/>
          <w:spacing w:val="-6"/>
          <w:sz w:val="22"/>
          <w:szCs w:val="22"/>
        </w:rPr>
        <w:t>niektó</w:t>
      </w:r>
      <w:r w:rsidRPr="004E23C2">
        <w:rPr>
          <w:rFonts w:ascii="Arial" w:hAnsi="Arial" w:cs="Arial"/>
          <w:spacing w:val="-6"/>
          <w:sz w:val="22"/>
          <w:szCs w:val="22"/>
        </w:rPr>
        <w:t>re regulacje wewnętrzne wymagały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 aktualizacji.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Pomimo szeregu działań </w:t>
      </w:r>
      <w:r w:rsidRPr="004E23C2">
        <w:rPr>
          <w:rFonts w:ascii="Arial" w:hAnsi="Arial" w:cs="Arial"/>
          <w:spacing w:val="-6"/>
          <w:sz w:val="22"/>
          <w:szCs w:val="22"/>
        </w:rPr>
        <w:t>zarządczych, problemy kadrowe były nadal najważniejszą kwestią mającą wpływ na zapewnienie zgodności działalności z przepisami prawa i procedurami wewnętrznymi oraz zapewnienie skuteczności i efektywności działania.</w:t>
      </w:r>
      <w:r>
        <w:rPr>
          <w:rFonts w:ascii="Arial" w:hAnsi="Arial" w:cs="Arial"/>
          <w:spacing w:val="-6"/>
          <w:sz w:val="22"/>
          <w:szCs w:val="22"/>
        </w:rPr>
        <w:t xml:space="preserve"> Mimo</w:t>
      </w:r>
      <w:r>
        <w:rPr>
          <w:rFonts w:ascii="Arial" w:hAnsi="Arial" w:cs="Arial"/>
          <w:spacing w:val="-6"/>
          <w:sz w:val="22"/>
          <w:szCs w:val="22"/>
        </w:rPr>
        <w:t>, iż podjęte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działania</w:t>
      </w:r>
      <w:r>
        <w:rPr>
          <w:rFonts w:ascii="Arial" w:hAnsi="Arial" w:cs="Arial"/>
          <w:spacing w:val="-6"/>
          <w:sz w:val="22"/>
          <w:szCs w:val="22"/>
        </w:rPr>
        <w:t xml:space="preserve"> doprowadziły </w:t>
      </w:r>
      <w:r>
        <w:rPr>
          <w:rFonts w:ascii="Arial" w:hAnsi="Arial" w:cs="Arial"/>
          <w:spacing w:val="-6"/>
          <w:sz w:val="22"/>
          <w:szCs w:val="22"/>
        </w:rPr>
        <w:t>do is</w:t>
      </w:r>
      <w:r>
        <w:rPr>
          <w:rFonts w:ascii="Arial" w:hAnsi="Arial" w:cs="Arial"/>
          <w:spacing w:val="-6"/>
          <w:sz w:val="22"/>
          <w:szCs w:val="22"/>
        </w:rPr>
        <w:t>totnej poprawy zakresie zwiększenia liczby etatów oraz wzrostu średniego poziomu wynagrodzeń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poziom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 fluktuacji kadr </w:t>
      </w:r>
      <w:r>
        <w:rPr>
          <w:rFonts w:ascii="Arial" w:hAnsi="Arial" w:cs="Arial"/>
          <w:spacing w:val="-6"/>
          <w:sz w:val="22"/>
          <w:szCs w:val="22"/>
        </w:rPr>
        <w:t xml:space="preserve">nadal utrzymywał się na wysokim poziomie </w:t>
      </w:r>
      <w:r w:rsidRPr="004E23C2">
        <w:rPr>
          <w:rFonts w:ascii="Arial" w:hAnsi="Arial" w:cs="Arial"/>
          <w:spacing w:val="-6"/>
          <w:sz w:val="22"/>
          <w:szCs w:val="22"/>
        </w:rPr>
        <w:t>(9,92%)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 w:rsidRPr="004E23C2">
        <w:rPr>
          <w:rFonts w:ascii="Arial" w:hAnsi="Arial" w:cs="Arial"/>
          <w:spacing w:val="-6"/>
          <w:sz w:val="22"/>
          <w:szCs w:val="22"/>
        </w:rPr>
        <w:t>, co wiązało się z utratą wielu doświadczonych i kompetentnych pracowników. Z uwagi na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 wysokospecjalistyczny charakter Urzędu oraz niesatysfakcjonujący poziom oferowanych wynagrodzeń występowały jednocześnie istotne problemy z zatrudnianiem nowych pracowników. Z powodu braku ofert na wolne stanowiska pracy wiele etatów pozostawało </w:t>
      </w:r>
      <w:r>
        <w:rPr>
          <w:rFonts w:ascii="Arial" w:hAnsi="Arial" w:cs="Arial"/>
          <w:spacing w:val="-6"/>
          <w:sz w:val="22"/>
          <w:szCs w:val="22"/>
        </w:rPr>
        <w:t>przez dłu</w:t>
      </w:r>
      <w:r>
        <w:rPr>
          <w:rFonts w:ascii="Arial" w:hAnsi="Arial" w:cs="Arial"/>
          <w:spacing w:val="-6"/>
          <w:sz w:val="22"/>
          <w:szCs w:val="22"/>
        </w:rPr>
        <w:t xml:space="preserve">ższy czas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nieobsadzonych. </w:t>
      </w:r>
    </w:p>
    <w:p w:rsidR="00B1255A" w:rsidRDefault="000F38B6" w:rsidP="007A6420">
      <w:pPr>
        <w:shd w:val="clear" w:color="auto" w:fill="FFFFFF"/>
        <w:ind w:left="709" w:hanging="283"/>
        <w:jc w:val="both"/>
        <w:rPr>
          <w:rFonts w:ascii="Arial" w:hAnsi="Arial" w:cs="Arial"/>
          <w:spacing w:val="-6"/>
          <w:sz w:val="22"/>
          <w:szCs w:val="22"/>
        </w:rPr>
      </w:pPr>
    </w:p>
    <w:p w:rsidR="004E23C2" w:rsidRPr="004E23C2" w:rsidRDefault="000F38B6" w:rsidP="007A6420">
      <w:pPr>
        <w:pStyle w:val="Akapitzlist"/>
        <w:numPr>
          <w:ilvl w:val="0"/>
          <w:numId w:val="5"/>
        </w:numPr>
        <w:shd w:val="clear" w:color="auto" w:fill="FFFFFF"/>
        <w:ind w:left="709" w:hanging="283"/>
        <w:jc w:val="both"/>
        <w:rPr>
          <w:rFonts w:ascii="Arial" w:hAnsi="Arial" w:cs="Arial"/>
          <w:spacing w:val="-6"/>
          <w:sz w:val="22"/>
          <w:szCs w:val="22"/>
        </w:rPr>
      </w:pPr>
      <w:r w:rsidRPr="004E23C2">
        <w:rPr>
          <w:rFonts w:ascii="Arial" w:hAnsi="Arial" w:cs="Arial"/>
          <w:sz w:val="22"/>
          <w:szCs w:val="22"/>
        </w:rPr>
        <w:t>efektywności i skuteczności przepływu informacji:</w:t>
      </w:r>
      <w:r>
        <w:rPr>
          <w:rFonts w:ascii="Arial" w:hAnsi="Arial" w:cs="Arial"/>
          <w:sz w:val="22"/>
          <w:szCs w:val="22"/>
        </w:rPr>
        <w:t xml:space="preserve"> </w:t>
      </w:r>
      <w:r w:rsidRPr="004E23C2">
        <w:rPr>
          <w:rFonts w:ascii="Arial" w:hAnsi="Arial" w:cs="Arial"/>
          <w:sz w:val="22"/>
          <w:szCs w:val="22"/>
        </w:rPr>
        <w:t xml:space="preserve"> </w:t>
      </w:r>
    </w:p>
    <w:p w:rsidR="004E23C2" w:rsidRPr="004E23C2" w:rsidRDefault="000F38B6" w:rsidP="007A6420">
      <w:pPr>
        <w:pStyle w:val="Akapitzlist"/>
        <w:shd w:val="clear" w:color="auto" w:fill="FFFFFF"/>
        <w:ind w:left="709" w:hanging="283"/>
        <w:jc w:val="both"/>
        <w:rPr>
          <w:rFonts w:ascii="Arial" w:hAnsi="Arial" w:cs="Arial"/>
          <w:spacing w:val="-6"/>
          <w:sz w:val="22"/>
          <w:szCs w:val="22"/>
        </w:rPr>
      </w:pPr>
    </w:p>
    <w:p w:rsidR="00AB2D11" w:rsidRPr="004E23C2" w:rsidRDefault="000F38B6" w:rsidP="007A6420">
      <w:pPr>
        <w:pStyle w:val="Akapitzlist"/>
        <w:shd w:val="clear" w:color="auto" w:fill="FFFFFF"/>
        <w:ind w:left="709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4E23C2">
        <w:rPr>
          <w:rFonts w:ascii="Arial" w:hAnsi="Arial" w:cs="Arial"/>
          <w:sz w:val="22"/>
          <w:szCs w:val="22"/>
        </w:rPr>
        <w:t>rak spójnych systemów informatycznych i baz danych sprawia</w:t>
      </w:r>
      <w:r w:rsidRPr="004E23C2">
        <w:rPr>
          <w:rFonts w:ascii="Arial" w:hAnsi="Arial" w:cs="Arial"/>
          <w:sz w:val="22"/>
          <w:szCs w:val="22"/>
        </w:rPr>
        <w:t>ł</w:t>
      </w:r>
      <w:r w:rsidRPr="004E23C2">
        <w:rPr>
          <w:rFonts w:ascii="Arial" w:hAnsi="Arial" w:cs="Arial"/>
          <w:sz w:val="22"/>
          <w:szCs w:val="22"/>
        </w:rPr>
        <w:t xml:space="preserve"> trudności we właściwym przetwarzaniu informacji, co wpływa</w:t>
      </w:r>
      <w:r w:rsidRPr="004E23C2">
        <w:rPr>
          <w:rFonts w:ascii="Arial" w:hAnsi="Arial" w:cs="Arial"/>
          <w:sz w:val="22"/>
          <w:szCs w:val="22"/>
        </w:rPr>
        <w:t>ło</w:t>
      </w:r>
      <w:r w:rsidRPr="004E23C2">
        <w:rPr>
          <w:rFonts w:ascii="Arial" w:hAnsi="Arial" w:cs="Arial"/>
          <w:sz w:val="22"/>
          <w:szCs w:val="22"/>
        </w:rPr>
        <w:t xml:space="preserve"> na</w:t>
      </w:r>
      <w:r w:rsidRPr="004E23C2">
        <w:rPr>
          <w:rFonts w:ascii="Arial" w:hAnsi="Arial" w:cs="Arial"/>
          <w:sz w:val="22"/>
          <w:szCs w:val="22"/>
        </w:rPr>
        <w:t xml:space="preserve"> wydłużenie</w:t>
      </w:r>
      <w:r w:rsidRPr="004E23C2">
        <w:rPr>
          <w:rFonts w:ascii="Arial" w:hAnsi="Arial" w:cs="Arial"/>
          <w:sz w:val="22"/>
          <w:szCs w:val="22"/>
        </w:rPr>
        <w:t xml:space="preserve"> czasu realizacji postępowań</w:t>
      </w:r>
      <w:r w:rsidRPr="004E23C2">
        <w:rPr>
          <w:rFonts w:ascii="Arial" w:hAnsi="Arial" w:cs="Arial"/>
          <w:sz w:val="22"/>
          <w:szCs w:val="22"/>
        </w:rPr>
        <w:t>.</w:t>
      </w:r>
      <w:r w:rsidRPr="004E23C2">
        <w:rPr>
          <w:rFonts w:ascii="Arial" w:hAnsi="Arial" w:cs="Arial"/>
          <w:sz w:val="22"/>
          <w:szCs w:val="22"/>
        </w:rPr>
        <w:t xml:space="preserve">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Wdrożenie narzędzi informatycznych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adekwatnych do potrzeb Urzędu </w:t>
      </w:r>
      <w:r w:rsidRPr="004E23C2">
        <w:rPr>
          <w:rFonts w:ascii="Arial" w:hAnsi="Arial" w:cs="Arial"/>
          <w:spacing w:val="-6"/>
          <w:sz w:val="22"/>
          <w:szCs w:val="22"/>
        </w:rPr>
        <w:t>wymaga znacznych nakładów inwestycyjnych</w:t>
      </w:r>
      <w:r>
        <w:t xml:space="preserve">, </w:t>
      </w:r>
      <w:r w:rsidRPr="004E23C2">
        <w:rPr>
          <w:rFonts w:ascii="Arial" w:hAnsi="Arial" w:cs="Arial"/>
          <w:sz w:val="22"/>
          <w:szCs w:val="22"/>
        </w:rPr>
        <w:t>a p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rzyznawane Urzędowi środki na inwestycje nie są w stanie zapewnić realizacji faktycznych potrzeb w tym zakresie. </w:t>
      </w:r>
      <w:r w:rsidRPr="004E23C2">
        <w:rPr>
          <w:rFonts w:ascii="Arial" w:hAnsi="Arial" w:cs="Arial"/>
          <w:spacing w:val="-6"/>
          <w:sz w:val="22"/>
          <w:szCs w:val="22"/>
        </w:rPr>
        <w:t>Nal</w:t>
      </w:r>
      <w:r>
        <w:rPr>
          <w:rFonts w:ascii="Arial" w:hAnsi="Arial" w:cs="Arial"/>
          <w:spacing w:val="-6"/>
          <w:sz w:val="22"/>
          <w:szCs w:val="22"/>
        </w:rPr>
        <w:t xml:space="preserve">eży podkreślić, że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Urząd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cały czas 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współpracuje </w:t>
      </w:r>
      <w:r>
        <w:rPr>
          <w:rFonts w:ascii="Arial" w:hAnsi="Arial" w:cs="Arial"/>
          <w:spacing w:val="-6"/>
          <w:sz w:val="22"/>
          <w:szCs w:val="22"/>
        </w:rPr>
        <w:t>z Centrum e-Zdrowia</w:t>
      </w:r>
      <w:r w:rsidRPr="004E23C2">
        <w:rPr>
          <w:rFonts w:ascii="Arial" w:hAnsi="Arial" w:cs="Arial"/>
          <w:spacing w:val="-6"/>
          <w:sz w:val="22"/>
          <w:szCs w:val="22"/>
        </w:rPr>
        <w:t xml:space="preserve"> w celu rozwoju systemów informatycznych w ochronie zdrowia.</w:t>
      </w:r>
    </w:p>
    <w:p w:rsidR="00AB2D11" w:rsidRDefault="000F38B6" w:rsidP="007A6420">
      <w:pPr>
        <w:ind w:left="709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C2782E" w:rsidRPr="00100AA4" w:rsidRDefault="000F38B6" w:rsidP="007A6420">
      <w:pPr>
        <w:ind w:left="709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:rsidR="00AB2D11" w:rsidRPr="00100AA4" w:rsidRDefault="000F38B6" w:rsidP="00AB2D11">
      <w:pPr>
        <w:tabs>
          <w:tab w:val="left" w:pos="424"/>
        </w:tabs>
        <w:ind w:left="42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00AA4">
        <w:rPr>
          <w:rFonts w:ascii="Arial" w:hAnsi="Arial" w:cs="Arial"/>
          <w:color w:val="000000"/>
          <w:sz w:val="22"/>
          <w:szCs w:val="22"/>
        </w:rPr>
        <w:lastRenderedPageBreak/>
        <w:t>2.</w:t>
      </w:r>
      <w:r w:rsidRPr="00100AA4">
        <w:rPr>
          <w:rFonts w:ascii="Arial" w:hAnsi="Arial" w:cs="Arial"/>
          <w:color w:val="000000"/>
          <w:sz w:val="22"/>
          <w:szCs w:val="22"/>
        </w:rPr>
        <w:tab/>
        <w:t>Planowane działania, które zostaną podjęte w celu poprawy funkcjonowania kontroli zarządczej.</w:t>
      </w:r>
    </w:p>
    <w:p w:rsidR="00AB2D11" w:rsidRDefault="000F38B6" w:rsidP="00AB2D1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62709" w:rsidRPr="00962709" w:rsidRDefault="000F38B6" w:rsidP="0096270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962709">
        <w:rPr>
          <w:rFonts w:ascii="Arial" w:hAnsi="Arial" w:cs="Arial"/>
          <w:color w:val="000000"/>
          <w:sz w:val="22"/>
          <w:szCs w:val="22"/>
        </w:rPr>
        <w:t xml:space="preserve">ontynuowanie działań zmierzających do poprawy </w:t>
      </w:r>
      <w:r w:rsidRPr="00962709">
        <w:rPr>
          <w:rFonts w:ascii="Arial" w:hAnsi="Arial" w:cs="Arial"/>
          <w:color w:val="000000"/>
          <w:sz w:val="22"/>
          <w:szCs w:val="22"/>
        </w:rPr>
        <w:t>stabilności zasobów kadrowych</w:t>
      </w:r>
      <w:r w:rsidRPr="00962709">
        <w:rPr>
          <w:rFonts w:ascii="Arial" w:hAnsi="Arial" w:cs="Arial"/>
          <w:color w:val="000000"/>
          <w:sz w:val="22"/>
          <w:szCs w:val="22"/>
        </w:rPr>
        <w:t xml:space="preserve"> poprzez sukcesywne podwyższanie poziomu wynagrodzeń zatrudnionych pracowników oraz zwiększenie proponowanych stawek wynagrodzeń na wolnych stanowiskach pracy, a także stosowanie pozafinansowych narzędzi motywowania w szczególn</w:t>
      </w:r>
      <w:r w:rsidRPr="00962709">
        <w:rPr>
          <w:rFonts w:ascii="Arial" w:hAnsi="Arial" w:cs="Arial"/>
          <w:color w:val="000000"/>
          <w:sz w:val="22"/>
          <w:szCs w:val="22"/>
        </w:rPr>
        <w:t>ości, w zakresie elastycznej organizacji czasu pracy i miejsca świadczenia pracy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62709" w:rsidRPr="00F529C3" w:rsidRDefault="000F38B6" w:rsidP="0096270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92B04">
        <w:rPr>
          <w:rFonts w:ascii="Arial" w:hAnsi="Arial" w:cs="Arial"/>
          <w:sz w:val="22"/>
          <w:szCs w:val="22"/>
        </w:rPr>
        <w:t>odjęcie działań mających na</w:t>
      </w:r>
      <w:r>
        <w:rPr>
          <w:rFonts w:ascii="Arial" w:hAnsi="Arial" w:cs="Arial"/>
          <w:sz w:val="22"/>
          <w:szCs w:val="22"/>
        </w:rPr>
        <w:t xml:space="preserve"> celu budowę nowych baz danych </w:t>
      </w:r>
      <w:r w:rsidRPr="00992B04">
        <w:rPr>
          <w:rFonts w:ascii="Arial" w:hAnsi="Arial" w:cs="Arial"/>
          <w:sz w:val="22"/>
          <w:szCs w:val="22"/>
        </w:rPr>
        <w:t>oraz usprawnienie działających baz danych,</w:t>
      </w:r>
      <w:r>
        <w:rPr>
          <w:rFonts w:ascii="Arial" w:hAnsi="Arial" w:cs="Arial"/>
          <w:sz w:val="22"/>
          <w:szCs w:val="22"/>
        </w:rPr>
        <w:t xml:space="preserve"> w tym </w:t>
      </w:r>
      <w:r w:rsidRPr="00106CB2">
        <w:rPr>
          <w:rFonts w:ascii="Arial" w:hAnsi="Arial" w:cs="Arial"/>
          <w:sz w:val="22"/>
          <w:szCs w:val="22"/>
        </w:rPr>
        <w:t>wnioskowanie do Ministerstwa Zdrowia o pr</w:t>
      </w:r>
      <w:r>
        <w:rPr>
          <w:rFonts w:ascii="Arial" w:hAnsi="Arial" w:cs="Arial"/>
          <w:sz w:val="22"/>
          <w:szCs w:val="22"/>
        </w:rPr>
        <w:t>zydzielenie dodatkowych ś</w:t>
      </w:r>
      <w:r>
        <w:rPr>
          <w:rFonts w:ascii="Arial" w:hAnsi="Arial" w:cs="Arial"/>
          <w:sz w:val="22"/>
          <w:szCs w:val="22"/>
        </w:rPr>
        <w:t>rodków</w:t>
      </w:r>
      <w:r>
        <w:rPr>
          <w:rFonts w:ascii="Arial" w:hAnsi="Arial" w:cs="Arial"/>
          <w:sz w:val="22"/>
          <w:szCs w:val="22"/>
        </w:rPr>
        <w:t xml:space="preserve"> na ten cel</w:t>
      </w:r>
      <w:r>
        <w:rPr>
          <w:rFonts w:ascii="Arial" w:hAnsi="Arial" w:cs="Arial"/>
          <w:sz w:val="22"/>
          <w:szCs w:val="22"/>
        </w:rPr>
        <w:t>.</w:t>
      </w:r>
    </w:p>
    <w:p w:rsidR="00962709" w:rsidRPr="00B453AB" w:rsidRDefault="000F38B6" w:rsidP="0096270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453AB">
        <w:rPr>
          <w:rFonts w:ascii="Arial" w:hAnsi="Arial" w:cs="Arial"/>
          <w:sz w:val="22"/>
          <w:szCs w:val="22"/>
        </w:rPr>
        <w:t>Prowadzenie ścisłe</w:t>
      </w:r>
      <w:r w:rsidRPr="00B453AB">
        <w:rPr>
          <w:rFonts w:ascii="Arial" w:hAnsi="Arial" w:cs="Arial"/>
          <w:sz w:val="22"/>
          <w:szCs w:val="22"/>
        </w:rPr>
        <w:t>j współpracy z Centrum e-Zdrowia</w:t>
      </w:r>
      <w:r w:rsidRPr="00B453AB">
        <w:rPr>
          <w:rFonts w:ascii="Arial" w:hAnsi="Arial" w:cs="Arial"/>
          <w:sz w:val="22"/>
          <w:szCs w:val="22"/>
        </w:rPr>
        <w:t xml:space="preserve"> w celu rozwoju narzędzi informatycznych zapewniających szybszą ewidencję procedowanych spraw, szybszy obieg i dostęp do informacji, stosowanie szablonów czy korzystanie z już istniejącyc</w:t>
      </w:r>
      <w:r w:rsidRPr="00B453AB">
        <w:rPr>
          <w:rFonts w:ascii="Arial" w:hAnsi="Arial" w:cs="Arial"/>
          <w:sz w:val="22"/>
          <w:szCs w:val="22"/>
        </w:rPr>
        <w:t>h ocen.</w:t>
      </w:r>
    </w:p>
    <w:p w:rsidR="00962709" w:rsidRDefault="000F38B6" w:rsidP="0096270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>K</w:t>
      </w:r>
      <w:r w:rsidRPr="00962709">
        <w:rPr>
          <w:rFonts w:ascii="Arial" w:hAnsi="Arial" w:cs="Arial"/>
          <w:sz w:val="22"/>
          <w:szCs w:val="22"/>
        </w:rPr>
        <w:t>ontynuowan</w:t>
      </w:r>
      <w:r w:rsidRPr="00962709">
        <w:rPr>
          <w:rFonts w:ascii="Arial" w:hAnsi="Arial" w:cs="Arial"/>
          <w:sz w:val="22"/>
          <w:szCs w:val="22"/>
        </w:rPr>
        <w:t xml:space="preserve">ie prac dotyczących przeglądu, </w:t>
      </w:r>
      <w:r w:rsidRPr="00962709">
        <w:rPr>
          <w:rFonts w:ascii="Arial" w:hAnsi="Arial" w:cs="Arial"/>
          <w:sz w:val="22"/>
          <w:szCs w:val="22"/>
        </w:rPr>
        <w:t>usprawnienia</w:t>
      </w:r>
      <w:r w:rsidRPr="00962709">
        <w:rPr>
          <w:rFonts w:ascii="Arial" w:hAnsi="Arial" w:cs="Arial"/>
          <w:sz w:val="22"/>
          <w:szCs w:val="22"/>
        </w:rPr>
        <w:t xml:space="preserve"> </w:t>
      </w:r>
      <w:r w:rsidRPr="00962709">
        <w:rPr>
          <w:rFonts w:ascii="Arial" w:hAnsi="Arial" w:cs="Arial"/>
          <w:sz w:val="22"/>
          <w:szCs w:val="22"/>
        </w:rPr>
        <w:t>oraz opracowania</w:t>
      </w:r>
      <w:r w:rsidRPr="00962709">
        <w:rPr>
          <w:rFonts w:ascii="Arial" w:hAnsi="Arial" w:cs="Arial"/>
          <w:sz w:val="22"/>
          <w:szCs w:val="22"/>
        </w:rPr>
        <w:t xml:space="preserve"> kart procesów w oparciu o obowiązujący obecnie porządek prawny</w:t>
      </w:r>
      <w:r w:rsidRPr="00962709">
        <w:rPr>
          <w:rFonts w:ascii="Arial" w:hAnsi="Arial" w:cs="Arial"/>
          <w:sz w:val="22"/>
          <w:szCs w:val="22"/>
        </w:rPr>
        <w:t xml:space="preserve"> </w:t>
      </w:r>
      <w:r w:rsidRPr="00962709">
        <w:rPr>
          <w:rFonts w:ascii="Arial" w:hAnsi="Arial" w:cs="Arial"/>
          <w:sz w:val="22"/>
          <w:szCs w:val="22"/>
        </w:rPr>
        <w:t>w zakresie produktów leczniczych oraz produktów leczniczych weterynaryjnych</w:t>
      </w:r>
      <w:r>
        <w:rPr>
          <w:rFonts w:ascii="Arial" w:hAnsi="Arial" w:cs="Arial"/>
          <w:sz w:val="22"/>
          <w:szCs w:val="22"/>
        </w:rPr>
        <w:t>.</w:t>
      </w:r>
    </w:p>
    <w:p w:rsidR="00C55C92" w:rsidRPr="00962709" w:rsidRDefault="000F38B6" w:rsidP="0096270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62709">
        <w:rPr>
          <w:rFonts w:ascii="Arial" w:hAnsi="Arial" w:cs="Arial"/>
          <w:sz w:val="22"/>
          <w:szCs w:val="22"/>
        </w:rPr>
        <w:t xml:space="preserve">ontynuowanie prac legislacyjnych </w:t>
      </w:r>
      <w:r w:rsidRPr="00962709">
        <w:rPr>
          <w:rFonts w:ascii="Arial" w:hAnsi="Arial" w:cs="Arial"/>
          <w:sz w:val="22"/>
          <w:szCs w:val="22"/>
        </w:rPr>
        <w:t>dotyczących wdrożenia ustawy o weterynaryjnych produktach leczni</w:t>
      </w:r>
      <w:r w:rsidRPr="00962709">
        <w:rPr>
          <w:rFonts w:ascii="Arial" w:hAnsi="Arial" w:cs="Arial"/>
          <w:sz w:val="22"/>
          <w:szCs w:val="22"/>
        </w:rPr>
        <w:t>czych oraz finalizacja prac nad projektem ustawy dokonującej zmiany ustawy z dnia 9 października 2015 r. o produktach biobójczych.</w:t>
      </w:r>
    </w:p>
    <w:p w:rsidR="00AB2D11" w:rsidRPr="001D2F7A" w:rsidRDefault="000F38B6" w:rsidP="007A6420">
      <w:pPr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AB2D11" w:rsidRPr="00100AA4" w:rsidRDefault="000F38B6" w:rsidP="00AB2D11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100AA4">
        <w:rPr>
          <w:rFonts w:ascii="Arial" w:hAnsi="Arial" w:cs="Arial"/>
          <w:b/>
          <w:bCs/>
          <w:color w:val="000000"/>
          <w:sz w:val="22"/>
          <w:szCs w:val="22"/>
        </w:rPr>
        <w:t>Dział III</w:t>
      </w:r>
      <w:r w:rsidRPr="00100AA4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I</w:t>
      </w:r>
      <w:r w:rsidRPr="00100AA4">
        <w:rPr>
          <w:rFonts w:ascii="Arial" w:hAnsi="Arial" w:cs="Arial"/>
          <w:color w:val="000000"/>
          <w:sz w:val="22"/>
          <w:szCs w:val="22"/>
          <w:vertAlign w:val="superscript"/>
        </w:rPr>
        <w:t>10)</w:t>
      </w:r>
    </w:p>
    <w:p w:rsidR="00AB2D11" w:rsidRPr="00100AA4" w:rsidRDefault="000F38B6" w:rsidP="00AB2D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00AA4">
        <w:rPr>
          <w:rFonts w:ascii="Arial" w:hAnsi="Arial" w:cs="Arial"/>
          <w:color w:val="000000"/>
          <w:sz w:val="22"/>
          <w:szCs w:val="22"/>
        </w:rPr>
        <w:t xml:space="preserve">Działania, które zostały podjęte w ubiegłym </w:t>
      </w:r>
      <w:r w:rsidRPr="00100AA4">
        <w:rPr>
          <w:rFonts w:ascii="Arial" w:hAnsi="Arial" w:cs="Arial"/>
          <w:color w:val="000000"/>
          <w:sz w:val="22"/>
          <w:szCs w:val="22"/>
        </w:rPr>
        <w:t>roku w celu poprawy funkcjonowania kontroli zarządczej.</w:t>
      </w:r>
    </w:p>
    <w:p w:rsidR="00AB2D11" w:rsidRPr="00100AA4" w:rsidRDefault="000F38B6" w:rsidP="00AB2D11">
      <w:pPr>
        <w:tabs>
          <w:tab w:val="left" w:pos="424"/>
        </w:tabs>
        <w:ind w:left="42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AB2D11" w:rsidRPr="00100AA4" w:rsidRDefault="000F38B6" w:rsidP="00AB2D11">
      <w:pPr>
        <w:tabs>
          <w:tab w:val="left" w:pos="424"/>
        </w:tabs>
        <w:ind w:left="42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00AA4">
        <w:rPr>
          <w:rFonts w:ascii="Arial" w:hAnsi="Arial" w:cs="Arial"/>
          <w:color w:val="000000"/>
          <w:sz w:val="22"/>
          <w:szCs w:val="22"/>
        </w:rPr>
        <w:t>1.</w:t>
      </w:r>
      <w:r w:rsidRPr="00100AA4">
        <w:rPr>
          <w:rFonts w:ascii="Arial" w:hAnsi="Arial" w:cs="Arial"/>
          <w:color w:val="000000"/>
          <w:sz w:val="22"/>
          <w:szCs w:val="22"/>
        </w:rPr>
        <w:tab/>
        <w:t>Działania, które zostały zaplanowane na rok, którego dotyczy oświadczenie:</w:t>
      </w:r>
    </w:p>
    <w:p w:rsidR="00AB2D11" w:rsidRPr="00100AA4" w:rsidRDefault="000F38B6" w:rsidP="00AB2D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2D11" w:rsidRPr="00076A7E" w:rsidRDefault="000F38B6" w:rsidP="007A6420">
      <w:pPr>
        <w:numPr>
          <w:ilvl w:val="0"/>
          <w:numId w:val="3"/>
        </w:numPr>
        <w:ind w:left="568" w:hanging="284"/>
        <w:jc w:val="both"/>
        <w:rPr>
          <w:rFonts w:ascii="Arial" w:hAnsi="Arial" w:cs="Arial"/>
          <w:sz w:val="22"/>
          <w:szCs w:val="22"/>
        </w:rPr>
      </w:pPr>
      <w:r w:rsidRPr="00076A7E">
        <w:rPr>
          <w:rFonts w:ascii="Arial" w:hAnsi="Arial" w:cs="Arial"/>
          <w:color w:val="000000"/>
          <w:spacing w:val="-6"/>
          <w:sz w:val="22"/>
          <w:szCs w:val="22"/>
        </w:rPr>
        <w:t>W obszarze</w:t>
      </w:r>
      <w:r w:rsidRPr="008D05F2">
        <w:rPr>
          <w:rFonts w:ascii="Arial" w:hAnsi="Arial" w:cs="Arial"/>
          <w:color w:val="000000"/>
          <w:spacing w:val="-6"/>
          <w:sz w:val="22"/>
          <w:szCs w:val="22"/>
        </w:rPr>
        <w:t xml:space="preserve"> poprawy sytuacji kadrowej kontynuowane były stosowne działania mające na celu podniesienie średniego poziomu </w:t>
      </w:r>
      <w:r w:rsidRPr="008D05F2">
        <w:rPr>
          <w:rFonts w:ascii="Arial" w:hAnsi="Arial" w:cs="Arial"/>
          <w:color w:val="000000"/>
          <w:spacing w:val="-6"/>
          <w:sz w:val="22"/>
          <w:szCs w:val="22"/>
        </w:rPr>
        <w:t xml:space="preserve">wynagrodzenia zasadniczego obejmujące zwiększenie wynagrodzeń zasadniczych, zarówno o charakterze czasowym, jak i stałym w ramach posiadanych możliwości wygenerowanych w funduszu płac oraz pozyskanych środków dodatkowych. </w:t>
      </w:r>
      <w:r>
        <w:rPr>
          <w:rFonts w:ascii="Arial" w:hAnsi="Arial" w:cs="Arial"/>
          <w:sz w:val="22"/>
          <w:szCs w:val="22"/>
        </w:rPr>
        <w:t>W 2023</w:t>
      </w:r>
      <w:r>
        <w:rPr>
          <w:rFonts w:ascii="Arial" w:hAnsi="Arial" w:cs="Arial"/>
          <w:sz w:val="22"/>
          <w:szCs w:val="22"/>
        </w:rPr>
        <w:t xml:space="preserve"> </w:t>
      </w:r>
      <w:r w:rsidRPr="008D05F2">
        <w:rPr>
          <w:rFonts w:ascii="Arial" w:hAnsi="Arial" w:cs="Arial"/>
          <w:sz w:val="22"/>
          <w:szCs w:val="22"/>
        </w:rPr>
        <w:t>r.</w:t>
      </w:r>
      <w:r w:rsidRPr="008D05F2">
        <w:rPr>
          <w:rFonts w:ascii="Arial" w:hAnsi="Arial" w:cs="Arial"/>
        </w:rPr>
        <w:t xml:space="preserve"> </w:t>
      </w:r>
      <w:r w:rsidRPr="00076A7E">
        <w:rPr>
          <w:rFonts w:ascii="Arial" w:hAnsi="Arial" w:cs="Arial"/>
          <w:sz w:val="22"/>
          <w:szCs w:val="22"/>
        </w:rPr>
        <w:t xml:space="preserve">Urząd </w:t>
      </w:r>
      <w:r w:rsidRPr="00076A7E">
        <w:rPr>
          <w:rFonts w:ascii="Arial" w:hAnsi="Arial" w:cs="Arial"/>
          <w:sz w:val="22"/>
          <w:szCs w:val="22"/>
        </w:rPr>
        <w:t>wnioskował do Mini</w:t>
      </w:r>
      <w:r w:rsidRPr="00076A7E">
        <w:rPr>
          <w:rFonts w:ascii="Arial" w:hAnsi="Arial" w:cs="Arial"/>
          <w:sz w:val="22"/>
          <w:szCs w:val="22"/>
        </w:rPr>
        <w:t>sterstwa Zdrowia o przyznanie dodatkowych środków na wynagrodzenia i utworzenie nowych etatów.</w:t>
      </w:r>
      <w:r w:rsidRPr="00076A7E">
        <w:rPr>
          <w:rFonts w:ascii="Arial" w:hAnsi="Arial" w:cs="Arial"/>
          <w:sz w:val="22"/>
          <w:szCs w:val="22"/>
        </w:rPr>
        <w:t xml:space="preserve"> W wyniku podjętych działań Urząd otrzymał dodatkowe środki na wynagrodzenia oraz</w:t>
      </w:r>
      <w:r>
        <w:rPr>
          <w:rFonts w:ascii="Arial" w:hAnsi="Arial" w:cs="Arial"/>
          <w:sz w:val="22"/>
          <w:szCs w:val="22"/>
        </w:rPr>
        <w:t xml:space="preserve"> na</w:t>
      </w:r>
      <w:r w:rsidRPr="00076A7E">
        <w:rPr>
          <w:rFonts w:ascii="Arial" w:hAnsi="Arial" w:cs="Arial"/>
          <w:sz w:val="22"/>
          <w:szCs w:val="22"/>
        </w:rPr>
        <w:t xml:space="preserve"> utworzenie nowych etatów. </w:t>
      </w:r>
    </w:p>
    <w:p w:rsidR="00AB2D11" w:rsidRPr="00002EB7" w:rsidRDefault="000F38B6" w:rsidP="007A6420">
      <w:pPr>
        <w:numPr>
          <w:ilvl w:val="0"/>
          <w:numId w:val="3"/>
        </w:numPr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402B9">
        <w:rPr>
          <w:rFonts w:ascii="Arial" w:hAnsi="Arial" w:cs="Arial"/>
          <w:sz w:val="22"/>
          <w:szCs w:val="22"/>
        </w:rPr>
        <w:t xml:space="preserve">e współpracy z Centrum e-Zdrowia </w:t>
      </w:r>
      <w:r>
        <w:rPr>
          <w:rFonts w:ascii="Arial" w:hAnsi="Arial" w:cs="Arial"/>
          <w:sz w:val="22"/>
          <w:szCs w:val="22"/>
        </w:rPr>
        <w:t xml:space="preserve">kontynuowano prace </w:t>
      </w:r>
      <w:r w:rsidRPr="00F402B9">
        <w:rPr>
          <w:rFonts w:ascii="Arial" w:hAnsi="Arial" w:cs="Arial"/>
          <w:sz w:val="22"/>
          <w:szCs w:val="22"/>
        </w:rPr>
        <w:t xml:space="preserve">w zakresie wdrożenia </w:t>
      </w:r>
      <w:r>
        <w:rPr>
          <w:rFonts w:ascii="Arial" w:hAnsi="Arial" w:cs="Arial"/>
          <w:sz w:val="22"/>
          <w:szCs w:val="22"/>
        </w:rPr>
        <w:t xml:space="preserve">zmodernizowanej wersji </w:t>
      </w:r>
      <w:r w:rsidRPr="00F402B9">
        <w:rPr>
          <w:rFonts w:ascii="Arial" w:hAnsi="Arial" w:cs="Arial"/>
          <w:sz w:val="22"/>
          <w:szCs w:val="22"/>
        </w:rPr>
        <w:t xml:space="preserve">Systemu Monitorowania Zagrożeń (SMZ), umożliwiającego sprawne przekazywanie </w:t>
      </w:r>
      <w:r w:rsidRPr="00002EB7">
        <w:rPr>
          <w:rFonts w:ascii="Arial" w:hAnsi="Arial" w:cs="Arial"/>
          <w:sz w:val="22"/>
          <w:szCs w:val="22"/>
        </w:rPr>
        <w:t>zgłoszeń działań niepożądanych.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2D11" w:rsidRPr="00F402B9" w:rsidRDefault="000F38B6" w:rsidP="007A6420">
      <w:pPr>
        <w:numPr>
          <w:ilvl w:val="0"/>
          <w:numId w:val="3"/>
        </w:numPr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Wdrożono system</w:t>
      </w:r>
      <w:r w:rsidRPr="00F402B9">
        <w:rPr>
          <w:rFonts w:ascii="Arial" w:hAnsi="Arial" w:cs="Arial"/>
          <w:sz w:val="22"/>
          <w:szCs w:val="22"/>
        </w:rPr>
        <w:t xml:space="preserve"> do rejestracji producentów, upoważnionych przedstawicieli i importer</w:t>
      </w:r>
      <w:r w:rsidRPr="00F402B9">
        <w:rPr>
          <w:rFonts w:ascii="Arial" w:hAnsi="Arial" w:cs="Arial"/>
          <w:sz w:val="22"/>
          <w:szCs w:val="22"/>
        </w:rPr>
        <w:t>ów w celu uzyskania niepowtarzalnego numeru rejestracyjnego, prowadzenia wykazu wyrobów, wykazu dystrybutorów i informacji o producentach wyrobów na zamówienie, wydawania świadectw wolnej sprzedaży oraz gromadzenia danych o podmiotach i wyrobach - w związk</w:t>
      </w:r>
      <w:r w:rsidRPr="00F402B9">
        <w:rPr>
          <w:rFonts w:ascii="Arial" w:hAnsi="Arial" w:cs="Arial"/>
          <w:sz w:val="22"/>
          <w:szCs w:val="22"/>
        </w:rPr>
        <w:t xml:space="preserve">u z nowymi wymaganiami zawartymi w rozporządzeniach o wyrobach medycznych i wyrobów medycznych do diagnostyki in vitro. </w:t>
      </w:r>
    </w:p>
    <w:p w:rsidR="00AB2D11" w:rsidRPr="002F3D9E" w:rsidRDefault="000F38B6" w:rsidP="002F3D9E">
      <w:pPr>
        <w:tabs>
          <w:tab w:val="left" w:pos="424"/>
        </w:tabs>
        <w:spacing w:before="240"/>
        <w:ind w:left="425" w:hanging="425"/>
        <w:jc w:val="both"/>
        <w:rPr>
          <w:rFonts w:ascii="Arial" w:hAnsi="Arial" w:cs="Arial"/>
          <w:color w:val="000000"/>
        </w:rPr>
      </w:pPr>
      <w:r w:rsidRPr="00100AA4">
        <w:rPr>
          <w:rFonts w:ascii="Arial" w:hAnsi="Arial" w:cs="Arial"/>
          <w:color w:val="000000"/>
          <w:sz w:val="22"/>
          <w:szCs w:val="22"/>
        </w:rPr>
        <w:t>2.</w:t>
      </w:r>
      <w:r w:rsidRPr="00100AA4">
        <w:rPr>
          <w:rFonts w:ascii="Arial" w:hAnsi="Arial" w:cs="Arial"/>
          <w:color w:val="000000"/>
          <w:sz w:val="22"/>
          <w:szCs w:val="22"/>
        </w:rPr>
        <w:tab/>
        <w:t>Pozostałe działania:</w:t>
      </w:r>
    </w:p>
    <w:p w:rsidR="00990632" w:rsidRDefault="000F38B6" w:rsidP="007A6420">
      <w:pPr>
        <w:pStyle w:val="doc-ti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B2D11" w:rsidRPr="00491A1A" w:rsidRDefault="000F38B6" w:rsidP="00990632">
      <w:pPr>
        <w:pStyle w:val="doc-ti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FF7E5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obszarze produktów leczniczych</w:t>
      </w:r>
      <w:r w:rsidRPr="00033852">
        <w:t xml:space="preserve"> </w:t>
      </w:r>
      <w:r>
        <w:rPr>
          <w:rFonts w:ascii="Arial" w:hAnsi="Arial" w:cs="Arial"/>
          <w:sz w:val="22"/>
          <w:szCs w:val="22"/>
        </w:rPr>
        <w:t>podejmowano</w:t>
      </w:r>
      <w:r w:rsidRPr="00033852">
        <w:rPr>
          <w:rFonts w:ascii="Arial" w:hAnsi="Arial" w:cs="Arial"/>
          <w:sz w:val="22"/>
          <w:szCs w:val="22"/>
        </w:rPr>
        <w:t xml:space="preserve"> działania organizacyj</w:t>
      </w:r>
      <w:r>
        <w:rPr>
          <w:rFonts w:ascii="Arial" w:hAnsi="Arial" w:cs="Arial"/>
          <w:sz w:val="22"/>
          <w:szCs w:val="22"/>
        </w:rPr>
        <w:t xml:space="preserve">ne mające na celu optymalizację </w:t>
      </w:r>
      <w:r w:rsidRPr="00033852">
        <w:rPr>
          <w:rFonts w:ascii="Arial" w:hAnsi="Arial" w:cs="Arial"/>
          <w:sz w:val="22"/>
          <w:szCs w:val="22"/>
        </w:rPr>
        <w:t xml:space="preserve">procesów w </w:t>
      </w:r>
      <w:r w:rsidRPr="00033852">
        <w:rPr>
          <w:rFonts w:ascii="Arial" w:hAnsi="Arial" w:cs="Arial"/>
          <w:sz w:val="22"/>
          <w:szCs w:val="22"/>
        </w:rPr>
        <w:t>departamentach oraz mające na celu optymalne wykorzystanie potencjału i wiedzy pracowników pionu. W stosunku d</w:t>
      </w:r>
      <w:r>
        <w:rPr>
          <w:rFonts w:ascii="Arial" w:hAnsi="Arial" w:cs="Arial"/>
          <w:sz w:val="22"/>
          <w:szCs w:val="22"/>
        </w:rPr>
        <w:t xml:space="preserve">o roku poprzedniego zwiększeniu </w:t>
      </w:r>
      <w:r w:rsidRPr="00033852">
        <w:rPr>
          <w:rFonts w:ascii="Arial" w:hAnsi="Arial" w:cs="Arial"/>
          <w:sz w:val="22"/>
          <w:szCs w:val="22"/>
        </w:rPr>
        <w:lastRenderedPageBreak/>
        <w:t>uległa</w:t>
      </w:r>
      <w:r>
        <w:rPr>
          <w:rFonts w:ascii="Arial" w:hAnsi="Arial" w:cs="Arial"/>
          <w:sz w:val="22"/>
          <w:szCs w:val="22"/>
        </w:rPr>
        <w:t xml:space="preserve"> liczba spraw prowadzonych wyłącznie elektronicznie w systemie</w:t>
      </w:r>
      <w:r w:rsidRPr="00033852">
        <w:rPr>
          <w:rFonts w:ascii="Arial" w:hAnsi="Arial" w:cs="Arial"/>
          <w:sz w:val="22"/>
          <w:szCs w:val="22"/>
        </w:rPr>
        <w:t xml:space="preserve"> EZD. W niektórych postępowaniach administracy</w:t>
      </w:r>
      <w:r w:rsidRPr="00033852">
        <w:rPr>
          <w:rFonts w:ascii="Arial" w:hAnsi="Arial" w:cs="Arial"/>
          <w:sz w:val="22"/>
          <w:szCs w:val="22"/>
        </w:rPr>
        <w:t>jnych prowadzonych pr</w:t>
      </w:r>
      <w:r>
        <w:rPr>
          <w:rFonts w:ascii="Arial" w:hAnsi="Arial" w:cs="Arial"/>
          <w:sz w:val="22"/>
          <w:szCs w:val="22"/>
        </w:rPr>
        <w:t>zez departamenty obowiązywała</w:t>
      </w:r>
      <w:r>
        <w:rPr>
          <w:rFonts w:ascii="Arial" w:hAnsi="Arial" w:cs="Arial"/>
          <w:sz w:val="22"/>
          <w:szCs w:val="22"/>
        </w:rPr>
        <w:t xml:space="preserve"> już </w:t>
      </w:r>
      <w:r w:rsidRPr="00033852">
        <w:rPr>
          <w:rFonts w:ascii="Arial" w:hAnsi="Arial" w:cs="Arial"/>
          <w:sz w:val="22"/>
          <w:szCs w:val="22"/>
        </w:rPr>
        <w:t>jedynie forma elektroniczna składanych dokumentów i obiegu dokumenta</w:t>
      </w:r>
      <w:r>
        <w:rPr>
          <w:rFonts w:ascii="Arial" w:hAnsi="Arial" w:cs="Arial"/>
          <w:sz w:val="22"/>
          <w:szCs w:val="22"/>
        </w:rPr>
        <w:t xml:space="preserve">cji. Rozstrzygnięcia wydawane były </w:t>
      </w:r>
      <w:r w:rsidRPr="00033852">
        <w:rPr>
          <w:rFonts w:ascii="Arial" w:hAnsi="Arial" w:cs="Arial"/>
          <w:sz w:val="22"/>
          <w:szCs w:val="22"/>
        </w:rPr>
        <w:t xml:space="preserve"> w głównej mierze</w:t>
      </w:r>
      <w:r>
        <w:rPr>
          <w:rFonts w:ascii="Arial" w:hAnsi="Arial" w:cs="Arial"/>
          <w:sz w:val="22"/>
          <w:szCs w:val="22"/>
        </w:rPr>
        <w:t>,</w:t>
      </w:r>
      <w:r w:rsidRPr="00033852">
        <w:rPr>
          <w:rFonts w:ascii="Arial" w:hAnsi="Arial" w:cs="Arial"/>
          <w:sz w:val="22"/>
          <w:szCs w:val="22"/>
        </w:rPr>
        <w:t xml:space="preserve"> w for</w:t>
      </w:r>
      <w:r>
        <w:rPr>
          <w:rFonts w:ascii="Arial" w:hAnsi="Arial" w:cs="Arial"/>
          <w:sz w:val="22"/>
          <w:szCs w:val="22"/>
        </w:rPr>
        <w:t>mie elektronicznej. W 2023 roku przeprowadzono</w:t>
      </w:r>
      <w:r w:rsidRPr="00033852">
        <w:rPr>
          <w:rFonts w:ascii="Arial" w:hAnsi="Arial" w:cs="Arial"/>
          <w:sz w:val="22"/>
          <w:szCs w:val="22"/>
        </w:rPr>
        <w:t xml:space="preserve"> szereg szkoleń dla pracowni</w:t>
      </w:r>
      <w:r w:rsidRPr="00033852">
        <w:rPr>
          <w:rFonts w:ascii="Arial" w:hAnsi="Arial" w:cs="Arial"/>
          <w:sz w:val="22"/>
          <w:szCs w:val="22"/>
        </w:rPr>
        <w:t xml:space="preserve">ków i ekspertów, które miały </w:t>
      </w:r>
      <w:r>
        <w:rPr>
          <w:rFonts w:ascii="Arial" w:hAnsi="Arial" w:cs="Arial"/>
          <w:sz w:val="22"/>
          <w:szCs w:val="22"/>
        </w:rPr>
        <w:t xml:space="preserve">na celu </w:t>
      </w:r>
      <w:r w:rsidRPr="00033852">
        <w:rPr>
          <w:rFonts w:ascii="Arial" w:hAnsi="Arial" w:cs="Arial"/>
          <w:sz w:val="22"/>
          <w:szCs w:val="22"/>
        </w:rPr>
        <w:t>poszerzenie wiedzy i wymia</w:t>
      </w:r>
      <w:r>
        <w:rPr>
          <w:rFonts w:ascii="Arial" w:hAnsi="Arial" w:cs="Arial"/>
          <w:sz w:val="22"/>
          <w:szCs w:val="22"/>
        </w:rPr>
        <w:t xml:space="preserve">nę doświadczeń w zakresie spraw </w:t>
      </w:r>
      <w:r w:rsidRPr="00033852">
        <w:rPr>
          <w:rFonts w:ascii="Arial" w:hAnsi="Arial" w:cs="Arial"/>
          <w:sz w:val="22"/>
          <w:szCs w:val="22"/>
        </w:rPr>
        <w:t>prowadzonych przez Pion Produktów Leczniczych.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Ponadto współpracowano z Centrum e-Zdrowia w celu rozbudowy Rejestru Produktów leczniczych.</w:t>
      </w:r>
    </w:p>
    <w:p w:rsidR="00B831C8" w:rsidRDefault="000F38B6" w:rsidP="00990632">
      <w:pPr>
        <w:pStyle w:val="doc-ti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AB2D11" w:rsidRDefault="000F38B6" w:rsidP="00990632">
      <w:pPr>
        <w:pStyle w:val="doc-ti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obszarze weterynary</w:t>
      </w:r>
      <w:r>
        <w:rPr>
          <w:rFonts w:ascii="Arial" w:hAnsi="Arial" w:cs="Arial"/>
          <w:sz w:val="22"/>
          <w:szCs w:val="22"/>
        </w:rPr>
        <w:t>jnych produktów leczniczych wspó</w:t>
      </w:r>
      <w:r>
        <w:rPr>
          <w:rFonts w:ascii="Arial" w:hAnsi="Arial" w:cs="Arial"/>
          <w:sz w:val="22"/>
          <w:szCs w:val="22"/>
        </w:rPr>
        <w:t xml:space="preserve">łpracowano z Centrum e-Zdrowia </w:t>
      </w:r>
      <w:r>
        <w:rPr>
          <w:rFonts w:ascii="Arial" w:hAnsi="Arial" w:cs="Arial"/>
          <w:sz w:val="22"/>
          <w:szCs w:val="22"/>
        </w:rPr>
        <w:t xml:space="preserve">w zakresie </w:t>
      </w:r>
      <w:r>
        <w:rPr>
          <w:rFonts w:ascii="Arial" w:hAnsi="Arial" w:cs="Arial"/>
          <w:sz w:val="22"/>
          <w:szCs w:val="22"/>
        </w:rPr>
        <w:t>uzupełniania i rozwijania Unijnej Bazy</w:t>
      </w:r>
      <w:r>
        <w:rPr>
          <w:rFonts w:ascii="Arial" w:hAnsi="Arial" w:cs="Arial"/>
          <w:sz w:val="22"/>
          <w:szCs w:val="22"/>
        </w:rPr>
        <w:t xml:space="preserve"> </w:t>
      </w:r>
      <w:r w:rsidRPr="005A655D">
        <w:rPr>
          <w:rFonts w:ascii="Arial" w:hAnsi="Arial" w:cs="Arial"/>
          <w:sz w:val="22"/>
          <w:szCs w:val="22"/>
        </w:rPr>
        <w:t xml:space="preserve">Weterynaryjnych </w:t>
      </w:r>
      <w:r w:rsidRPr="005A655D">
        <w:rPr>
          <w:rFonts w:ascii="Arial" w:hAnsi="Arial" w:cs="Arial"/>
          <w:sz w:val="22"/>
          <w:szCs w:val="22"/>
        </w:rPr>
        <w:t>Produktów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Leczniczych</w:t>
      </w:r>
      <w:r>
        <w:rPr>
          <w:rFonts w:ascii="Arial" w:hAnsi="Arial" w:cs="Arial"/>
          <w:sz w:val="22"/>
          <w:szCs w:val="22"/>
        </w:rPr>
        <w:t xml:space="preserve"> oraz prowadzono prace nad projektem ustawy o weterynaryjnych produktach leczniczych, a także nad</w:t>
      </w:r>
      <w:r w:rsidRPr="008606A1">
        <w:rPr>
          <w:rFonts w:ascii="Arial" w:hAnsi="Arial" w:cs="Arial"/>
          <w:sz w:val="22"/>
          <w:szCs w:val="22"/>
        </w:rPr>
        <w:t xml:space="preserve"> projektem </w:t>
      </w:r>
      <w:r>
        <w:rPr>
          <w:rFonts w:ascii="Arial" w:hAnsi="Arial" w:cs="Arial"/>
          <w:sz w:val="22"/>
          <w:szCs w:val="22"/>
        </w:rPr>
        <w:t>r</w:t>
      </w:r>
      <w:r w:rsidRPr="008606A1">
        <w:rPr>
          <w:rFonts w:ascii="Arial" w:hAnsi="Arial" w:cs="Arial"/>
          <w:sz w:val="22"/>
          <w:szCs w:val="22"/>
        </w:rPr>
        <w:t>ozporządzenia Ministra Zdrowia</w:t>
      </w:r>
      <w:r>
        <w:rPr>
          <w:rFonts w:ascii="Arial" w:hAnsi="Arial" w:cs="Arial"/>
          <w:sz w:val="22"/>
          <w:szCs w:val="22"/>
        </w:rPr>
        <w:t xml:space="preserve"> </w:t>
      </w:r>
      <w:r w:rsidRPr="008606A1">
        <w:rPr>
          <w:rFonts w:ascii="Arial" w:hAnsi="Arial" w:cs="Arial"/>
          <w:sz w:val="22"/>
          <w:szCs w:val="22"/>
        </w:rPr>
        <w:t>w sprawie wysokości oraz sposobu ustalania i uiszczania opłat związanych z dopuszczeniem do obrotu weterynaryjnego produktu leczniczego</w:t>
      </w:r>
      <w:r>
        <w:rPr>
          <w:rFonts w:ascii="Arial" w:hAnsi="Arial" w:cs="Arial"/>
          <w:sz w:val="22"/>
          <w:szCs w:val="22"/>
        </w:rPr>
        <w:t>.</w:t>
      </w:r>
    </w:p>
    <w:p w:rsidR="00B831C8" w:rsidRDefault="000F38B6" w:rsidP="00990632">
      <w:pPr>
        <w:pStyle w:val="doc-ti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AB2D11" w:rsidRDefault="000F38B6" w:rsidP="00990632">
      <w:pPr>
        <w:pStyle w:val="doc-ti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03447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obszarze produktów biobójczych</w:t>
      </w:r>
      <w:r>
        <w:rPr>
          <w:rFonts w:ascii="Arial" w:hAnsi="Arial" w:cs="Arial"/>
          <w:sz w:val="22"/>
          <w:szCs w:val="22"/>
        </w:rPr>
        <w:t xml:space="preserve"> p</w:t>
      </w:r>
      <w:r w:rsidRPr="0099150B">
        <w:rPr>
          <w:rFonts w:ascii="Arial" w:hAnsi="Arial" w:cs="Arial"/>
          <w:sz w:val="22"/>
          <w:szCs w:val="22"/>
        </w:rPr>
        <w:t>rowadzono działania dotyczące zmiany prze</w:t>
      </w:r>
      <w:r w:rsidRPr="0099150B">
        <w:rPr>
          <w:rFonts w:ascii="Arial" w:hAnsi="Arial" w:cs="Arial"/>
          <w:sz w:val="22"/>
          <w:szCs w:val="22"/>
        </w:rPr>
        <w:t>pisów prawa w zakresie produktów biobójczych, jak również działania w zakresie usprawniania realizacji prowadzonych postępowań administracyjnych. Jednym z głównych działań Pionu Produktów Biobójczych była praca nad projektem ustawy dokonującej zmiany ustaw</w:t>
      </w:r>
      <w:r w:rsidRPr="0099150B">
        <w:rPr>
          <w:rFonts w:ascii="Arial" w:hAnsi="Arial" w:cs="Arial"/>
          <w:sz w:val="22"/>
          <w:szCs w:val="22"/>
        </w:rPr>
        <w:t>y z dnia 9 października 2015 r. o produktach biobójczych, która ma na celu realizację wyroku Trybunału Sprawiedliwości Unii Europejskiej z dnia 23 listopada 2016 r. w sprawie C-442/14 o dostępie do informacji dotyczących emisji do ś</w:t>
      </w:r>
      <w:r>
        <w:rPr>
          <w:rFonts w:ascii="Arial" w:hAnsi="Arial" w:cs="Arial"/>
          <w:sz w:val="22"/>
          <w:szCs w:val="22"/>
        </w:rPr>
        <w:t>rodowiska produktów biob</w:t>
      </w:r>
      <w:r>
        <w:rPr>
          <w:rFonts w:ascii="Arial" w:hAnsi="Arial" w:cs="Arial"/>
          <w:sz w:val="22"/>
          <w:szCs w:val="22"/>
        </w:rPr>
        <w:t xml:space="preserve">ójczych </w:t>
      </w:r>
      <w:r w:rsidRPr="0099150B">
        <w:rPr>
          <w:rFonts w:ascii="Arial" w:hAnsi="Arial" w:cs="Arial"/>
          <w:sz w:val="22"/>
          <w:szCs w:val="22"/>
        </w:rPr>
        <w:t>oraz doprecyzowywanie obowiązują</w:t>
      </w:r>
      <w:r>
        <w:rPr>
          <w:rFonts w:ascii="Arial" w:hAnsi="Arial" w:cs="Arial"/>
          <w:sz w:val="22"/>
          <w:szCs w:val="22"/>
        </w:rPr>
        <w:t xml:space="preserve">cych przepisów celem usunięcia </w:t>
      </w:r>
      <w:r w:rsidRPr="0099150B">
        <w:rPr>
          <w:rFonts w:ascii="Arial" w:hAnsi="Arial" w:cs="Arial"/>
          <w:sz w:val="22"/>
          <w:szCs w:val="22"/>
        </w:rPr>
        <w:t>dostrzeżonych nieścisłości oraz wątpliwości interpretacyjnych.</w:t>
      </w:r>
    </w:p>
    <w:p w:rsidR="00B831C8" w:rsidRDefault="000F38B6" w:rsidP="00990632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B2D11" w:rsidRDefault="000F38B6" w:rsidP="00990632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obszarze </w:t>
      </w:r>
      <w:r>
        <w:rPr>
          <w:rFonts w:ascii="Arial" w:hAnsi="Arial" w:cs="Arial"/>
          <w:color w:val="000000"/>
          <w:sz w:val="22"/>
          <w:szCs w:val="22"/>
        </w:rPr>
        <w:t xml:space="preserve">wyrobów </w:t>
      </w:r>
      <w:r>
        <w:rPr>
          <w:rFonts w:ascii="Arial" w:hAnsi="Arial" w:cs="Arial"/>
          <w:color w:val="000000"/>
          <w:sz w:val="22"/>
          <w:szCs w:val="22"/>
        </w:rPr>
        <w:t xml:space="preserve">medycznych prowadzono </w:t>
      </w:r>
      <w:r>
        <w:rPr>
          <w:rFonts w:ascii="Arial" w:hAnsi="Arial" w:cs="Arial"/>
          <w:color w:val="000000"/>
          <w:sz w:val="22"/>
          <w:szCs w:val="22"/>
        </w:rPr>
        <w:t>prace nad rozporządzeniem w spr</w:t>
      </w:r>
      <w:r>
        <w:rPr>
          <w:rFonts w:ascii="Arial" w:hAnsi="Arial" w:cs="Arial"/>
          <w:color w:val="000000"/>
          <w:sz w:val="22"/>
          <w:szCs w:val="22"/>
        </w:rPr>
        <w:t xml:space="preserve">awie reklamy wyrobów medycznych oraz dostosowano </w:t>
      </w:r>
      <w:r>
        <w:rPr>
          <w:rFonts w:ascii="Arial" w:hAnsi="Arial" w:cs="Arial"/>
          <w:color w:val="000000"/>
          <w:sz w:val="22"/>
          <w:szCs w:val="22"/>
        </w:rPr>
        <w:t>strukturę organizacyjną do nowych zadań.</w:t>
      </w:r>
    </w:p>
    <w:p w:rsidR="00B73364" w:rsidRDefault="000F38B6" w:rsidP="00990632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73364" w:rsidRPr="00100AA4" w:rsidRDefault="000F38B6" w:rsidP="00990632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Ponadto </w:t>
      </w:r>
      <w:r>
        <w:rPr>
          <w:rFonts w:ascii="Arial" w:hAnsi="Arial" w:cs="Arial"/>
          <w:color w:val="000000"/>
          <w:sz w:val="22"/>
          <w:szCs w:val="22"/>
        </w:rPr>
        <w:t xml:space="preserve">w obszarze kadrowym i finansowym </w:t>
      </w:r>
      <w:r>
        <w:rPr>
          <w:rFonts w:ascii="Arial" w:hAnsi="Arial" w:cs="Arial"/>
          <w:color w:val="000000"/>
          <w:sz w:val="22"/>
          <w:szCs w:val="22"/>
        </w:rPr>
        <w:t>wdrożono system</w:t>
      </w:r>
      <w:r>
        <w:rPr>
          <w:rFonts w:ascii="Arial" w:hAnsi="Arial" w:cs="Arial"/>
          <w:color w:val="000000"/>
          <w:sz w:val="22"/>
          <w:szCs w:val="22"/>
        </w:rPr>
        <w:t xml:space="preserve"> ERP enova 365</w:t>
      </w:r>
      <w:r>
        <w:rPr>
          <w:rFonts w:ascii="Arial" w:hAnsi="Arial" w:cs="Arial"/>
          <w:color w:val="000000"/>
          <w:sz w:val="22"/>
          <w:szCs w:val="22"/>
        </w:rPr>
        <w:t>, który pozwoli na automatyzację procesów</w:t>
      </w:r>
      <w:r>
        <w:rPr>
          <w:rFonts w:ascii="Arial" w:hAnsi="Arial" w:cs="Arial"/>
          <w:color w:val="000000"/>
          <w:sz w:val="22"/>
          <w:szCs w:val="22"/>
        </w:rPr>
        <w:t xml:space="preserve"> realizo</w:t>
      </w:r>
      <w:r>
        <w:rPr>
          <w:rFonts w:ascii="Arial" w:hAnsi="Arial" w:cs="Arial"/>
          <w:color w:val="000000"/>
          <w:sz w:val="22"/>
          <w:szCs w:val="22"/>
        </w:rPr>
        <w:t xml:space="preserve">wanych w tych obszarach. </w:t>
      </w:r>
    </w:p>
    <w:p w:rsidR="00AB2D11" w:rsidRDefault="000F38B6" w:rsidP="00AB2D11">
      <w:pPr>
        <w:spacing w:before="120"/>
        <w:jc w:val="both"/>
        <w:rPr>
          <w:rFonts w:ascii="Arial" w:hAnsi="Arial" w:cs="Arial"/>
          <w:b/>
          <w:bCs/>
          <w:color w:val="000000"/>
        </w:rPr>
      </w:pPr>
    </w:p>
    <w:p w:rsidR="00AB2D11" w:rsidRPr="00100AA4" w:rsidRDefault="000F38B6" w:rsidP="00AB2D11">
      <w:pPr>
        <w:spacing w:before="120"/>
        <w:jc w:val="both"/>
        <w:rPr>
          <w:rFonts w:ascii="Arial" w:hAnsi="Arial" w:cs="Arial"/>
          <w:color w:val="000000"/>
        </w:rPr>
      </w:pPr>
      <w:r w:rsidRPr="00100AA4">
        <w:rPr>
          <w:rFonts w:ascii="Arial" w:hAnsi="Arial" w:cs="Arial"/>
          <w:b/>
          <w:bCs/>
          <w:color w:val="000000"/>
        </w:rPr>
        <w:t>Objaśnienia: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vertAlign w:val="superscript"/>
        </w:rPr>
        <w:t>1)</w:t>
      </w:r>
      <w:r w:rsidRPr="00100AA4">
        <w:rPr>
          <w:rFonts w:ascii="Arial" w:hAnsi="Arial" w:cs="Arial"/>
          <w:color w:val="000000"/>
        </w:rPr>
        <w:tab/>
      </w:r>
      <w:r w:rsidRPr="00100AA4">
        <w:rPr>
          <w:rFonts w:ascii="Arial" w:hAnsi="Arial" w:cs="Arial"/>
          <w:color w:val="000000"/>
          <w:sz w:val="18"/>
          <w:szCs w:val="18"/>
        </w:rPr>
        <w:t xml:space="preserve">Należy podać nazwę ministra, ustaloną przez Prezesa Rady Ministrów na podstawie art. 33 ust. 1 ustawy </w:t>
      </w:r>
      <w:r w:rsidRPr="00100AA4">
        <w:rPr>
          <w:rFonts w:ascii="Arial" w:hAnsi="Arial" w:cs="Arial"/>
          <w:color w:val="000000"/>
          <w:sz w:val="18"/>
          <w:szCs w:val="18"/>
        </w:rPr>
        <w:br/>
        <w:t>z dnia 8 sierpnia 1996 r. o Radzie Ministrów (Dz. U. z 2003 r. Nr 24, poz. 199 i Nr 80, poz. 717, z 2004 r. Nr 238, poz. 2390 i Nr 273, poz. 2703, z 2005</w:t>
      </w:r>
      <w:r w:rsidRPr="00100AA4">
        <w:rPr>
          <w:rFonts w:ascii="Arial" w:hAnsi="Arial" w:cs="Arial"/>
          <w:color w:val="000000"/>
          <w:sz w:val="18"/>
          <w:szCs w:val="18"/>
        </w:rPr>
        <w:t xml:space="preserve"> r. Nr 169, poz. 1414 i Nr 249, poz. 2104, z 2006 r. Nr 45, poz. 319, Nr 170, poz. 1217 i Nr 220, poz. 1600, z 2008 r. Nr 227, poz. 1505, z 2009 r. Nr 42, poz. 337, Nr 98, poz. 817, Nr 157, poz. 1241 i Nr 161, poz. 1277 oraz z 2010 r. Nr 57, poz. 354), a w</w:t>
      </w:r>
      <w:r w:rsidRPr="00100AA4">
        <w:rPr>
          <w:rFonts w:ascii="Arial" w:hAnsi="Arial" w:cs="Arial"/>
          <w:color w:val="000000"/>
          <w:sz w:val="18"/>
          <w:szCs w:val="18"/>
        </w:rPr>
        <w:t xml:space="preserve"> przypadku gdy oświadczenie sporządzane jest przez kierownika jednostki, nazwę pełnionej przez niego funkcji.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Pr="00100AA4">
        <w:rPr>
          <w:rFonts w:ascii="Arial" w:hAnsi="Arial" w:cs="Arial"/>
          <w:color w:val="000000"/>
          <w:sz w:val="18"/>
          <w:szCs w:val="18"/>
        </w:rPr>
        <w:tab/>
        <w:t>W dziale I, w zależności od wyników oceny stanu kontroli zarządczej, wypełnia się tylko jedną część z części A albo B, albo C przez zaznaczenie</w:t>
      </w:r>
      <w:r w:rsidRPr="00100AA4">
        <w:rPr>
          <w:rFonts w:ascii="Arial" w:hAnsi="Arial" w:cs="Arial"/>
          <w:color w:val="000000"/>
          <w:sz w:val="18"/>
          <w:szCs w:val="18"/>
        </w:rPr>
        <w:t xml:space="preserve"> znakiem "X" odpowiedniego wiersza. Pozostałe dwie części wykreśla się. Część D wypełnia się niezależnie od wyników oceny stanu kontroli zarządczej.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3)</w:t>
      </w:r>
      <w:r w:rsidRPr="00100AA4">
        <w:rPr>
          <w:rFonts w:ascii="Arial" w:hAnsi="Arial" w:cs="Arial"/>
          <w:color w:val="000000"/>
          <w:sz w:val="18"/>
          <w:szCs w:val="18"/>
        </w:rPr>
        <w:tab/>
        <w:t>Minister kierujący więcej niż jednym działem administracji rządowej składa jedno oświadczenie o stanie k</w:t>
      </w:r>
      <w:r w:rsidRPr="00100AA4">
        <w:rPr>
          <w:rFonts w:ascii="Arial" w:hAnsi="Arial" w:cs="Arial"/>
          <w:color w:val="000000"/>
          <w:sz w:val="18"/>
          <w:szCs w:val="18"/>
        </w:rPr>
        <w:t xml:space="preserve">ontroli zarządczej w zakresie wszystkich kierowanych przez niego działów, obejmujące również urząd obsługujący ministra. Oświadczenie nie obejmuje jednostek, które nie są jednostkami sektora finansów publicznych w rozumieniu ustawy z dnia 27 sierpnia 2009 </w:t>
      </w:r>
      <w:r w:rsidRPr="00100AA4">
        <w:rPr>
          <w:rFonts w:ascii="Arial" w:hAnsi="Arial" w:cs="Arial"/>
          <w:color w:val="000000"/>
          <w:sz w:val="18"/>
          <w:szCs w:val="18"/>
        </w:rPr>
        <w:t>r. o finansach publicznych (Dz. U. Nr 157, poz. 1240 oraz z 2010 r. Nr 28, poz. 146, Nr 96, poz. 620, Nr 123, poz. 835, Nr 152, poz. 1020 i Nr 238, poz. 1578).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4)</w:t>
      </w:r>
      <w:r w:rsidRPr="00100AA4">
        <w:rPr>
          <w:rFonts w:ascii="Arial" w:hAnsi="Arial" w:cs="Arial"/>
          <w:color w:val="000000"/>
          <w:sz w:val="18"/>
          <w:szCs w:val="18"/>
        </w:rPr>
        <w:tab/>
        <w:t>Część A wypełnia się w przypadku, gdy kontrola zarządcza w wystarczającym stopniu zapewniła ł</w:t>
      </w:r>
      <w:r w:rsidRPr="00100AA4">
        <w:rPr>
          <w:rFonts w:ascii="Arial" w:hAnsi="Arial" w:cs="Arial"/>
          <w:color w:val="000000"/>
          <w:sz w:val="18"/>
          <w:szCs w:val="18"/>
        </w:rPr>
        <w:t>ącznie wszystkie następujące elementy: zgodność działalności z przepisami prawa oraz procedurami wewnętrznymi, skuteczność i efektywność działania, wiarygodność sprawozdań, ochronę zasobów, przestrzeganie i promowanie zasad etycznego postępowania, efektywn</w:t>
      </w:r>
      <w:r w:rsidRPr="00100AA4">
        <w:rPr>
          <w:rFonts w:ascii="Arial" w:hAnsi="Arial" w:cs="Arial"/>
          <w:color w:val="000000"/>
          <w:sz w:val="18"/>
          <w:szCs w:val="18"/>
        </w:rPr>
        <w:t>ość i skuteczność przepływu informacji oraz zarządzanie ryzykiem.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5)</w:t>
      </w:r>
      <w:r w:rsidRPr="00100AA4">
        <w:rPr>
          <w:rFonts w:ascii="Arial" w:hAnsi="Arial" w:cs="Arial"/>
          <w:color w:val="000000"/>
          <w:sz w:val="18"/>
          <w:szCs w:val="18"/>
        </w:rPr>
        <w:tab/>
        <w:t>Część B wypełnia się w przypadku, gdy kontrola zarządcza nie zapewniła w wystarczającym stopniu jednego lub więcej z wymienionych elementów: zgodności działalności z przepisami prawa oraz</w:t>
      </w:r>
      <w:r w:rsidRPr="00100AA4">
        <w:rPr>
          <w:rFonts w:ascii="Arial" w:hAnsi="Arial" w:cs="Arial"/>
          <w:color w:val="000000"/>
          <w:sz w:val="18"/>
          <w:szCs w:val="18"/>
        </w:rPr>
        <w:t xml:space="preserve"> procedurami wewnętrznymi, skuteczności i efektywności działania, wiarygodności sprawozdań, ochrony zasobów, przestrzegania i promowania zasad etycznego postępowania, efektywności i skuteczności przepływu informacji lub zarządzania ryzykiem, z zastrzeżenie</w:t>
      </w:r>
      <w:r w:rsidRPr="00100AA4">
        <w:rPr>
          <w:rFonts w:ascii="Arial" w:hAnsi="Arial" w:cs="Arial"/>
          <w:color w:val="000000"/>
          <w:sz w:val="18"/>
          <w:szCs w:val="18"/>
        </w:rPr>
        <w:t>m przypisu 6.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lastRenderedPageBreak/>
        <w:t>6)</w:t>
      </w:r>
      <w:r w:rsidRPr="00100AA4">
        <w:rPr>
          <w:rFonts w:ascii="Arial" w:hAnsi="Arial" w:cs="Arial"/>
          <w:color w:val="000000"/>
          <w:sz w:val="18"/>
          <w:szCs w:val="18"/>
        </w:rPr>
        <w:tab/>
        <w:t xml:space="preserve">Część C wypełnia się w przypadku, gdy kontrola zarządcza nie zapewniła w wystarczającym stopniu żadnego z wymienionych elementów: zgodności działalności z przepisami prawa oraz procedurami wewnętrznymi, skuteczności i efektywności </w:t>
      </w:r>
      <w:r w:rsidRPr="00100AA4">
        <w:rPr>
          <w:rFonts w:ascii="Arial" w:hAnsi="Arial" w:cs="Arial"/>
          <w:color w:val="000000"/>
          <w:sz w:val="18"/>
          <w:szCs w:val="18"/>
        </w:rPr>
        <w:t>działania, wiarygodności sprawozdań, ochrony zasobów, przestrzegania i promowania zasad etycznego postępowania, efektywności i skuteczności przepływu informacji oraz zarządzania ryzykiem.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7)</w:t>
      </w:r>
      <w:r w:rsidRPr="00100AA4">
        <w:rPr>
          <w:rFonts w:ascii="Arial" w:hAnsi="Arial" w:cs="Arial"/>
          <w:color w:val="000000"/>
          <w:sz w:val="18"/>
          <w:szCs w:val="18"/>
        </w:rPr>
        <w:tab/>
        <w:t>Znakiem "X" zaznaczyć odpowiednie wiersze. W przypadku zaznaczeni</w:t>
      </w:r>
      <w:r w:rsidRPr="00100AA4">
        <w:rPr>
          <w:rFonts w:ascii="Arial" w:hAnsi="Arial" w:cs="Arial"/>
          <w:color w:val="000000"/>
          <w:sz w:val="18"/>
          <w:szCs w:val="18"/>
        </w:rPr>
        <w:t>a punktu "innych źródeł informacji" należy je wymienić.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8)</w:t>
      </w:r>
      <w:r w:rsidRPr="00100AA4">
        <w:rPr>
          <w:rFonts w:ascii="Arial" w:hAnsi="Arial" w:cs="Arial"/>
          <w:color w:val="000000"/>
          <w:sz w:val="18"/>
          <w:szCs w:val="18"/>
        </w:rPr>
        <w:tab/>
        <w:t>Standardy kontroli zarządczej dla sektora finansów publicznych ogłoszone przez Ministra Finansów na podstawie art. 69 ust. 3 ustawy z dnia 27 sierpnia 2009 r. o finansach publicznych.</w:t>
      </w:r>
    </w:p>
    <w:p w:rsidR="00AB2D11" w:rsidRPr="00100AA4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9)</w:t>
      </w:r>
      <w:r w:rsidRPr="00100AA4">
        <w:rPr>
          <w:rFonts w:ascii="Arial" w:hAnsi="Arial" w:cs="Arial"/>
          <w:color w:val="000000"/>
          <w:sz w:val="18"/>
          <w:szCs w:val="18"/>
        </w:rPr>
        <w:tab/>
        <w:t xml:space="preserve">Dział II </w:t>
      </w:r>
      <w:r w:rsidRPr="00100AA4">
        <w:rPr>
          <w:rFonts w:ascii="Arial" w:hAnsi="Arial" w:cs="Arial"/>
          <w:color w:val="000000"/>
          <w:sz w:val="18"/>
          <w:szCs w:val="18"/>
        </w:rPr>
        <w:t>sporządzany jest w przypadku, gdy w dziale I niniejszego oświadczenia zaznaczono część B albo C.</w:t>
      </w:r>
    </w:p>
    <w:p w:rsidR="00AB2D11" w:rsidRDefault="000F38B6" w:rsidP="00AB2D11">
      <w:pPr>
        <w:tabs>
          <w:tab w:val="left" w:pos="425"/>
        </w:tabs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00AA4">
        <w:rPr>
          <w:rFonts w:ascii="Arial" w:hAnsi="Arial" w:cs="Arial"/>
          <w:color w:val="000000"/>
          <w:sz w:val="18"/>
          <w:szCs w:val="18"/>
          <w:vertAlign w:val="superscript"/>
        </w:rPr>
        <w:t>10)</w:t>
      </w:r>
      <w:r w:rsidRPr="00100AA4">
        <w:rPr>
          <w:rFonts w:ascii="Arial" w:hAnsi="Arial" w:cs="Arial"/>
          <w:color w:val="000000"/>
          <w:sz w:val="18"/>
          <w:szCs w:val="18"/>
        </w:rPr>
        <w:tab/>
        <w:t xml:space="preserve">Dział III sporządza się w przypadku, gdy w dziale I oświadczenia za rok poprzedzający rok, którego dotyczy niniejsze oświadczenie, była zaznaczona część B </w:t>
      </w:r>
      <w:r w:rsidRPr="00100AA4">
        <w:rPr>
          <w:rFonts w:ascii="Arial" w:hAnsi="Arial" w:cs="Arial"/>
          <w:color w:val="000000"/>
          <w:sz w:val="18"/>
          <w:szCs w:val="18"/>
        </w:rPr>
        <w:t>albo C lub gdy w roku, którego dotyczy niniejsze oświadczenie, były podejmowane inne niezaplanowane działania mające na celu poprawę funkcjonowania</w:t>
      </w:r>
      <w:r w:rsidRPr="00100AA4">
        <w:rPr>
          <w:rFonts w:ascii="Arial" w:hAnsi="Arial" w:cs="Arial"/>
          <w:color w:val="FF0000"/>
          <w:sz w:val="18"/>
          <w:szCs w:val="18"/>
        </w:rPr>
        <w:t xml:space="preserve"> </w:t>
      </w:r>
      <w:r w:rsidRPr="00100AA4">
        <w:rPr>
          <w:rFonts w:ascii="Arial" w:hAnsi="Arial" w:cs="Arial"/>
          <w:color w:val="000000"/>
          <w:sz w:val="18"/>
          <w:szCs w:val="18"/>
        </w:rPr>
        <w:t>kontroli zarządczej.</w:t>
      </w:r>
    </w:p>
    <w:p w:rsidR="00C00CDE" w:rsidRDefault="000F38B6">
      <w:r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C0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DC"/>
    <w:multiLevelType w:val="hybridMultilevel"/>
    <w:tmpl w:val="23608174"/>
    <w:lvl w:ilvl="0" w:tplc="109A2EDA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BAB403EA" w:tentative="1">
      <w:start w:val="1"/>
      <w:numFmt w:val="lowerLetter"/>
      <w:lvlText w:val="%2."/>
      <w:lvlJc w:val="left"/>
      <w:pPr>
        <w:ind w:left="7677" w:hanging="360"/>
      </w:pPr>
    </w:lvl>
    <w:lvl w:ilvl="2" w:tplc="7D6617DC" w:tentative="1">
      <w:start w:val="1"/>
      <w:numFmt w:val="lowerRoman"/>
      <w:lvlText w:val="%3."/>
      <w:lvlJc w:val="right"/>
      <w:pPr>
        <w:ind w:left="8397" w:hanging="180"/>
      </w:pPr>
    </w:lvl>
    <w:lvl w:ilvl="3" w:tplc="96B66132" w:tentative="1">
      <w:start w:val="1"/>
      <w:numFmt w:val="decimal"/>
      <w:lvlText w:val="%4."/>
      <w:lvlJc w:val="left"/>
      <w:pPr>
        <w:ind w:left="9117" w:hanging="360"/>
      </w:pPr>
    </w:lvl>
    <w:lvl w:ilvl="4" w:tplc="3C42FF82" w:tentative="1">
      <w:start w:val="1"/>
      <w:numFmt w:val="lowerLetter"/>
      <w:lvlText w:val="%5."/>
      <w:lvlJc w:val="left"/>
      <w:pPr>
        <w:ind w:left="9837" w:hanging="360"/>
      </w:pPr>
    </w:lvl>
    <w:lvl w:ilvl="5" w:tplc="CE0C391E" w:tentative="1">
      <w:start w:val="1"/>
      <w:numFmt w:val="lowerRoman"/>
      <w:lvlText w:val="%6."/>
      <w:lvlJc w:val="right"/>
      <w:pPr>
        <w:ind w:left="10557" w:hanging="180"/>
      </w:pPr>
    </w:lvl>
    <w:lvl w:ilvl="6" w:tplc="94BC574C" w:tentative="1">
      <w:start w:val="1"/>
      <w:numFmt w:val="decimal"/>
      <w:lvlText w:val="%7."/>
      <w:lvlJc w:val="left"/>
      <w:pPr>
        <w:ind w:left="11277" w:hanging="360"/>
      </w:pPr>
    </w:lvl>
    <w:lvl w:ilvl="7" w:tplc="7D162318" w:tentative="1">
      <w:start w:val="1"/>
      <w:numFmt w:val="lowerLetter"/>
      <w:lvlText w:val="%8."/>
      <w:lvlJc w:val="left"/>
      <w:pPr>
        <w:ind w:left="11997" w:hanging="360"/>
      </w:pPr>
    </w:lvl>
    <w:lvl w:ilvl="8" w:tplc="DAC67540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1" w15:restartNumberingAfterBreak="0">
    <w:nsid w:val="0D8E3887"/>
    <w:multiLevelType w:val="hybridMultilevel"/>
    <w:tmpl w:val="9B0EEE12"/>
    <w:lvl w:ilvl="0" w:tplc="D1BE2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04B2F6" w:tentative="1">
      <w:start w:val="1"/>
      <w:numFmt w:val="lowerLetter"/>
      <w:lvlText w:val="%2."/>
      <w:lvlJc w:val="left"/>
      <w:pPr>
        <w:ind w:left="1440" w:hanging="360"/>
      </w:pPr>
    </w:lvl>
    <w:lvl w:ilvl="2" w:tplc="23BC6B24" w:tentative="1">
      <w:start w:val="1"/>
      <w:numFmt w:val="lowerRoman"/>
      <w:lvlText w:val="%3."/>
      <w:lvlJc w:val="right"/>
      <w:pPr>
        <w:ind w:left="2160" w:hanging="180"/>
      </w:pPr>
    </w:lvl>
    <w:lvl w:ilvl="3" w:tplc="A02C515E" w:tentative="1">
      <w:start w:val="1"/>
      <w:numFmt w:val="decimal"/>
      <w:lvlText w:val="%4."/>
      <w:lvlJc w:val="left"/>
      <w:pPr>
        <w:ind w:left="2880" w:hanging="360"/>
      </w:pPr>
    </w:lvl>
    <w:lvl w:ilvl="4" w:tplc="E85EDF62" w:tentative="1">
      <w:start w:val="1"/>
      <w:numFmt w:val="lowerLetter"/>
      <w:lvlText w:val="%5."/>
      <w:lvlJc w:val="left"/>
      <w:pPr>
        <w:ind w:left="3600" w:hanging="360"/>
      </w:pPr>
    </w:lvl>
    <w:lvl w:ilvl="5" w:tplc="3132916E" w:tentative="1">
      <w:start w:val="1"/>
      <w:numFmt w:val="lowerRoman"/>
      <w:lvlText w:val="%6."/>
      <w:lvlJc w:val="right"/>
      <w:pPr>
        <w:ind w:left="4320" w:hanging="180"/>
      </w:pPr>
    </w:lvl>
    <w:lvl w:ilvl="6" w:tplc="97C010A4" w:tentative="1">
      <w:start w:val="1"/>
      <w:numFmt w:val="decimal"/>
      <w:lvlText w:val="%7."/>
      <w:lvlJc w:val="left"/>
      <w:pPr>
        <w:ind w:left="5040" w:hanging="360"/>
      </w:pPr>
    </w:lvl>
    <w:lvl w:ilvl="7" w:tplc="C8EA6AD6" w:tentative="1">
      <w:start w:val="1"/>
      <w:numFmt w:val="lowerLetter"/>
      <w:lvlText w:val="%8."/>
      <w:lvlJc w:val="left"/>
      <w:pPr>
        <w:ind w:left="5760" w:hanging="360"/>
      </w:pPr>
    </w:lvl>
    <w:lvl w:ilvl="8" w:tplc="30662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142D"/>
    <w:multiLevelType w:val="hybridMultilevel"/>
    <w:tmpl w:val="CF5C8DFC"/>
    <w:lvl w:ilvl="0" w:tplc="538ED236">
      <w:start w:val="1"/>
      <w:numFmt w:val="decimal"/>
      <w:lvlText w:val="%1)"/>
      <w:lvlJc w:val="left"/>
      <w:pPr>
        <w:ind w:left="720" w:hanging="360"/>
      </w:pPr>
    </w:lvl>
    <w:lvl w:ilvl="1" w:tplc="05A04F26" w:tentative="1">
      <w:start w:val="1"/>
      <w:numFmt w:val="lowerLetter"/>
      <w:lvlText w:val="%2."/>
      <w:lvlJc w:val="left"/>
      <w:pPr>
        <w:ind w:left="1440" w:hanging="360"/>
      </w:pPr>
    </w:lvl>
    <w:lvl w:ilvl="2" w:tplc="BC1CF0C4" w:tentative="1">
      <w:start w:val="1"/>
      <w:numFmt w:val="lowerRoman"/>
      <w:lvlText w:val="%3."/>
      <w:lvlJc w:val="right"/>
      <w:pPr>
        <w:ind w:left="2160" w:hanging="180"/>
      </w:pPr>
    </w:lvl>
    <w:lvl w:ilvl="3" w:tplc="375C4A56" w:tentative="1">
      <w:start w:val="1"/>
      <w:numFmt w:val="decimal"/>
      <w:lvlText w:val="%4."/>
      <w:lvlJc w:val="left"/>
      <w:pPr>
        <w:ind w:left="2880" w:hanging="360"/>
      </w:pPr>
    </w:lvl>
    <w:lvl w:ilvl="4" w:tplc="22A0D3F2" w:tentative="1">
      <w:start w:val="1"/>
      <w:numFmt w:val="lowerLetter"/>
      <w:lvlText w:val="%5."/>
      <w:lvlJc w:val="left"/>
      <w:pPr>
        <w:ind w:left="3600" w:hanging="360"/>
      </w:pPr>
    </w:lvl>
    <w:lvl w:ilvl="5" w:tplc="82D46890" w:tentative="1">
      <w:start w:val="1"/>
      <w:numFmt w:val="lowerRoman"/>
      <w:lvlText w:val="%6."/>
      <w:lvlJc w:val="right"/>
      <w:pPr>
        <w:ind w:left="4320" w:hanging="180"/>
      </w:pPr>
    </w:lvl>
    <w:lvl w:ilvl="6" w:tplc="FB72CCAA" w:tentative="1">
      <w:start w:val="1"/>
      <w:numFmt w:val="decimal"/>
      <w:lvlText w:val="%7."/>
      <w:lvlJc w:val="left"/>
      <w:pPr>
        <w:ind w:left="5040" w:hanging="360"/>
      </w:pPr>
    </w:lvl>
    <w:lvl w:ilvl="7" w:tplc="4746DE1E" w:tentative="1">
      <w:start w:val="1"/>
      <w:numFmt w:val="lowerLetter"/>
      <w:lvlText w:val="%8."/>
      <w:lvlJc w:val="left"/>
      <w:pPr>
        <w:ind w:left="5760" w:hanging="360"/>
      </w:pPr>
    </w:lvl>
    <w:lvl w:ilvl="8" w:tplc="DAB03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065EC"/>
    <w:multiLevelType w:val="hybridMultilevel"/>
    <w:tmpl w:val="B5761402"/>
    <w:lvl w:ilvl="0" w:tplc="12B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4E7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CE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1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ED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43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69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2F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81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0DF"/>
    <w:multiLevelType w:val="hybridMultilevel"/>
    <w:tmpl w:val="974CC1EA"/>
    <w:lvl w:ilvl="0" w:tplc="CBA8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A68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82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E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E2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4D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87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0D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42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73C8"/>
    <w:multiLevelType w:val="hybridMultilevel"/>
    <w:tmpl w:val="671275D8"/>
    <w:lvl w:ilvl="0" w:tplc="51D02C2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98A2E7C2" w:tentative="1">
      <w:start w:val="1"/>
      <w:numFmt w:val="lowerLetter"/>
      <w:lvlText w:val="%2."/>
      <w:lvlJc w:val="left"/>
      <w:pPr>
        <w:ind w:left="1789" w:hanging="360"/>
      </w:pPr>
    </w:lvl>
    <w:lvl w:ilvl="2" w:tplc="A8345328" w:tentative="1">
      <w:start w:val="1"/>
      <w:numFmt w:val="lowerRoman"/>
      <w:lvlText w:val="%3."/>
      <w:lvlJc w:val="right"/>
      <w:pPr>
        <w:ind w:left="2509" w:hanging="180"/>
      </w:pPr>
    </w:lvl>
    <w:lvl w:ilvl="3" w:tplc="84CE3422" w:tentative="1">
      <w:start w:val="1"/>
      <w:numFmt w:val="decimal"/>
      <w:lvlText w:val="%4."/>
      <w:lvlJc w:val="left"/>
      <w:pPr>
        <w:ind w:left="3229" w:hanging="360"/>
      </w:pPr>
    </w:lvl>
    <w:lvl w:ilvl="4" w:tplc="80C22E16" w:tentative="1">
      <w:start w:val="1"/>
      <w:numFmt w:val="lowerLetter"/>
      <w:lvlText w:val="%5."/>
      <w:lvlJc w:val="left"/>
      <w:pPr>
        <w:ind w:left="3949" w:hanging="360"/>
      </w:pPr>
    </w:lvl>
    <w:lvl w:ilvl="5" w:tplc="75B87976" w:tentative="1">
      <w:start w:val="1"/>
      <w:numFmt w:val="lowerRoman"/>
      <w:lvlText w:val="%6."/>
      <w:lvlJc w:val="right"/>
      <w:pPr>
        <w:ind w:left="4669" w:hanging="180"/>
      </w:pPr>
    </w:lvl>
    <w:lvl w:ilvl="6" w:tplc="14E047A2" w:tentative="1">
      <w:start w:val="1"/>
      <w:numFmt w:val="decimal"/>
      <w:lvlText w:val="%7."/>
      <w:lvlJc w:val="left"/>
      <w:pPr>
        <w:ind w:left="5389" w:hanging="360"/>
      </w:pPr>
    </w:lvl>
    <w:lvl w:ilvl="7" w:tplc="8B744B70" w:tentative="1">
      <w:start w:val="1"/>
      <w:numFmt w:val="lowerLetter"/>
      <w:lvlText w:val="%8."/>
      <w:lvlJc w:val="left"/>
      <w:pPr>
        <w:ind w:left="6109" w:hanging="360"/>
      </w:pPr>
    </w:lvl>
    <w:lvl w:ilvl="8" w:tplc="9AEE03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45503"/>
    <w:multiLevelType w:val="hybridMultilevel"/>
    <w:tmpl w:val="3298818A"/>
    <w:lvl w:ilvl="0" w:tplc="46442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34AC6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A028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3217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EED6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9430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84BC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4E5C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E8C3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B6"/>
    <w:rsid w:val="000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ACCD-67C4-48F4-B176-6916492B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AB2D1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55C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8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7121</Words>
  <Characters>42730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Lisek Marta</dc:creator>
  <cp:lastModifiedBy>Lisek Marta</cp:lastModifiedBy>
  <cp:revision>2</cp:revision>
  <cp:lastPrinted>2024-02-22T12:01:00Z</cp:lastPrinted>
  <dcterms:created xsi:type="dcterms:W3CDTF">2024-02-23T12:27:00Z</dcterms:created>
  <dcterms:modified xsi:type="dcterms:W3CDTF">2024-02-23T12:27:00Z</dcterms:modified>
</cp:coreProperties>
</file>